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7B" w:rsidRPr="00330D7B" w:rsidRDefault="00330D7B" w:rsidP="00330D7B">
      <w:pPr>
        <w:widowControl/>
        <w:spacing w:before="75" w:after="75" w:line="360" w:lineRule="atLeast"/>
        <w:jc w:val="center"/>
        <w:rPr>
          <w:rFonts w:ascii="Arial" w:eastAsia="宋体" w:hAnsi="Arial" w:cs="Arial"/>
          <w:color w:val="000000"/>
          <w:kern w:val="0"/>
          <w:sz w:val="24"/>
          <w:szCs w:val="24"/>
        </w:rPr>
      </w:pPr>
      <w:bookmarkStart w:id="0" w:name="_GoBack"/>
      <w:r w:rsidRPr="00330D7B">
        <w:rPr>
          <w:rFonts w:ascii="宋体" w:eastAsia="宋体" w:hAnsi="宋体" w:cs="Arial" w:hint="eastAsia"/>
          <w:b/>
          <w:bCs/>
          <w:color w:val="2E2E2E"/>
          <w:kern w:val="0"/>
          <w:sz w:val="18"/>
          <w:szCs w:val="18"/>
        </w:rPr>
        <w:t>《深圳证券交易所深港通业务实施办法》解读</w:t>
      </w:r>
    </w:p>
    <w:bookmarkEnd w:id="0"/>
    <w:p w:rsidR="00330D7B" w:rsidRPr="00330D7B" w:rsidRDefault="00330D7B" w:rsidP="00330D7B">
      <w:pPr>
        <w:widowControl/>
        <w:spacing w:before="75" w:after="75" w:line="360" w:lineRule="atLeast"/>
        <w:jc w:val="center"/>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深交所投资者教育中心</w:t>
      </w:r>
    </w:p>
    <w:p w:rsidR="00330D7B" w:rsidRPr="00330D7B" w:rsidRDefault="00330D7B" w:rsidP="00330D7B">
      <w:pPr>
        <w:widowControl/>
        <w:spacing w:before="75" w:after="75" w:line="360" w:lineRule="atLeast"/>
        <w:jc w:val="center"/>
        <w:rPr>
          <w:rFonts w:ascii="Arial" w:eastAsia="宋体" w:hAnsi="Arial" w:cs="Arial"/>
          <w:color w:val="000000"/>
          <w:kern w:val="0"/>
          <w:sz w:val="24"/>
          <w:szCs w:val="24"/>
        </w:rPr>
      </w:pPr>
      <w:r w:rsidRPr="00330D7B">
        <w:rPr>
          <w:rFonts w:ascii="Arial" w:eastAsia="宋体" w:hAnsi="Arial" w:cs="Arial"/>
          <w:b/>
          <w:bCs/>
          <w:color w:val="000000"/>
          <w:kern w:val="0"/>
          <w:sz w:val="18"/>
          <w:szCs w:val="18"/>
        </w:rPr>
        <w:t> </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为规范深港股票市场互联互通机制（以下简称“深港通”）业务开展，保护投资者合法权益，深圳证券交易所（以下简称“深交所”）于</w:t>
      </w:r>
      <w:r w:rsidRPr="00330D7B">
        <w:rPr>
          <w:rFonts w:ascii="Calibri" w:eastAsia="宋体" w:hAnsi="Calibri" w:cs="Calibri"/>
          <w:color w:val="2E2E2E"/>
          <w:kern w:val="0"/>
          <w:sz w:val="18"/>
          <w:szCs w:val="18"/>
        </w:rPr>
        <w:t>2016</w:t>
      </w:r>
      <w:r w:rsidRPr="00330D7B">
        <w:rPr>
          <w:rFonts w:ascii="宋体" w:eastAsia="宋体" w:hAnsi="宋体" w:cs="Arial" w:hint="eastAsia"/>
          <w:color w:val="2E2E2E"/>
          <w:kern w:val="0"/>
          <w:sz w:val="18"/>
          <w:szCs w:val="18"/>
        </w:rPr>
        <w:t>年</w:t>
      </w:r>
      <w:r w:rsidRPr="00330D7B">
        <w:rPr>
          <w:rFonts w:ascii="Calibri" w:eastAsia="宋体" w:hAnsi="Calibri" w:cs="Calibri"/>
          <w:color w:val="2E2E2E"/>
          <w:kern w:val="0"/>
          <w:sz w:val="18"/>
          <w:szCs w:val="18"/>
        </w:rPr>
        <w:t>9</w:t>
      </w:r>
      <w:r w:rsidRPr="00330D7B">
        <w:rPr>
          <w:rFonts w:ascii="宋体" w:eastAsia="宋体" w:hAnsi="宋体" w:cs="Arial" w:hint="eastAsia"/>
          <w:color w:val="2E2E2E"/>
          <w:kern w:val="0"/>
          <w:sz w:val="18"/>
          <w:szCs w:val="18"/>
        </w:rPr>
        <w:t>月</w:t>
      </w:r>
      <w:r w:rsidRPr="00330D7B">
        <w:rPr>
          <w:rFonts w:ascii="Calibri" w:eastAsia="宋体" w:hAnsi="Calibri" w:cs="Calibri"/>
          <w:color w:val="2E2E2E"/>
          <w:kern w:val="0"/>
          <w:sz w:val="18"/>
          <w:szCs w:val="18"/>
        </w:rPr>
        <w:t>30</w:t>
      </w:r>
      <w:r w:rsidRPr="00330D7B">
        <w:rPr>
          <w:rFonts w:ascii="宋体" w:eastAsia="宋体" w:hAnsi="宋体" w:cs="Arial" w:hint="eastAsia"/>
          <w:color w:val="2E2E2E"/>
          <w:kern w:val="0"/>
          <w:sz w:val="18"/>
          <w:szCs w:val="18"/>
        </w:rPr>
        <w:t>日正式发布了与深港通相关的八大业务规则。其中的《深圳证券交易所深港通业务实施办法》（以下简称“《实施办法》”），作为深港通基础性业务规则，详细规定了深港通业务的基本模式和具体要求，是深交所会员和投资者参与深港通业务的主要规则依据。为帮助会员单位、投资者等市场主体更好的理解《实施办法》，现对规则中的重点内容作以下解读：</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一、《实施办法》规定了哪些基本内容？</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作为规范深港通业务的主要规则，《实施办法》共有六章一百二十五条内容，全面而详细地规定了深港通业务的基本模式和具体要求：</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一是深股通交易。明确了香港联合交易所有限公司（以下简称“联交所”）证券服务公司作为交易参与人从事深股通业务的相关规定；深股通标的股票范围及调入调出规则；交易方式、订单类型、保证金交易和担保卖空等交易特别事项安排；每日额度控制公式及达到额度上限时的处理方式；达到持股比例限制时的措施等内容。</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二是深港通下的港股通（以下简称“港股通”）交易。明确了深交所会员参与港股通业务的相关规定；港股通标的股票范围及调入调出规则；港股通股票交易方式、订单类型等港股通交易相关事项；每日额度控制公式及达到额度上限时的处理方式；港股通投资者适当性要求等内容。</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三是交易异常情况处理。对于深股通和港股通中可能发生的交易异常情况，明确了处置主体、处置措施、市场公告、责任豁免等事项。</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四是自律监管。针对深港通可能出现的异常交易行为、违反信息披露要求行为及其他违规行为，明确了认定标准、交易监控责任主体、违规行为调查等内容，并且对跨境监管合作中的相关事项进行了规定。</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五是附则及其他事项。主要包括相关术语的解释，信息披露的法律依据和查询方式，名义持有人投票方式，配股、供股和公开配售的要求、深股通投资者适当性要求、港股通转托管、融资融券、交收货币等具体内容。</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二、《实施办法》规则制定遵循了哪些基本原则？</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一是与沪港通保持基本框架和模式不变。沪港通推出已近两年，业务运作较为成熟有效，规则体系也已被投资者广泛熟知。深港通方案设计充分尊重市场习惯，保持制度连续性，并充分吸取了《上海证券交易所沪港通试点办法》的既有经验和做法，主体内容及体例架构与沪港通基本一致。</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二是突出标的证券特色，注重业务操作性。结合中小市值股票的市场特点，深港通在标的股票范围、标的调整机制、投资额度管理等方面进行了相应设计，包括引入市值筛选标准，明确标的调整机制中的市值标准适用情形，不实行跨境投资额度总量管理等。</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三是紧跟市场变化，确保规则协调一致。针对联交所</w:t>
      </w:r>
      <w:r w:rsidRPr="00330D7B">
        <w:rPr>
          <w:rFonts w:ascii="Calibri" w:eastAsia="宋体" w:hAnsi="Calibri" w:cs="Calibri"/>
          <w:color w:val="2E2E2E"/>
          <w:kern w:val="0"/>
          <w:sz w:val="18"/>
          <w:szCs w:val="18"/>
        </w:rPr>
        <w:t>2016</w:t>
      </w:r>
      <w:r w:rsidRPr="00330D7B">
        <w:rPr>
          <w:rFonts w:ascii="宋体" w:eastAsia="宋体" w:hAnsi="宋体" w:cs="Arial" w:hint="eastAsia"/>
          <w:color w:val="2E2E2E"/>
          <w:kern w:val="0"/>
          <w:sz w:val="18"/>
          <w:szCs w:val="18"/>
        </w:rPr>
        <w:t>年</w:t>
      </w:r>
      <w:r w:rsidRPr="00330D7B">
        <w:rPr>
          <w:rFonts w:ascii="Calibri" w:eastAsia="宋体" w:hAnsi="Calibri" w:cs="Calibri"/>
          <w:color w:val="2E2E2E"/>
          <w:kern w:val="0"/>
          <w:sz w:val="18"/>
          <w:szCs w:val="18"/>
        </w:rPr>
        <w:t>7</w:t>
      </w:r>
      <w:r w:rsidRPr="00330D7B">
        <w:rPr>
          <w:rFonts w:ascii="宋体" w:eastAsia="宋体" w:hAnsi="宋体" w:cs="Arial" w:hint="eastAsia"/>
          <w:color w:val="2E2E2E"/>
          <w:kern w:val="0"/>
          <w:sz w:val="18"/>
          <w:szCs w:val="18"/>
        </w:rPr>
        <w:t>月</w:t>
      </w:r>
      <w:r w:rsidRPr="00330D7B">
        <w:rPr>
          <w:rFonts w:ascii="Calibri" w:eastAsia="宋体" w:hAnsi="Calibri" w:cs="Calibri"/>
          <w:color w:val="2E2E2E"/>
          <w:kern w:val="0"/>
          <w:sz w:val="18"/>
          <w:szCs w:val="18"/>
        </w:rPr>
        <w:t>25</w:t>
      </w:r>
      <w:r w:rsidRPr="00330D7B">
        <w:rPr>
          <w:rFonts w:ascii="宋体" w:eastAsia="宋体" w:hAnsi="宋体" w:cs="Arial" w:hint="eastAsia"/>
          <w:color w:val="2E2E2E"/>
          <w:kern w:val="0"/>
          <w:sz w:val="18"/>
          <w:szCs w:val="18"/>
        </w:rPr>
        <w:t>日引入“收市竞价交易时段”的交易机制重大调整，对相关港股通交易机制条款作出适当性表述，与联交所规则协调一致，确保投资者充分了解市场变化。</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lastRenderedPageBreak/>
        <w:t>三、深港通的标的股票范围是怎样规定的？</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深股通标的股票涵盖了部分主板、中小板和创业板上市公司，凸显了新兴行业集中、成长特征鲜明的市场特色，充分体现了深交所多层次资本市场特点。港股通标的股票也相应扩大了范围，新增了符合一定市值标准的恒生综合小型股指数成份股。具体而言规定如下：</w:t>
      </w:r>
    </w:p>
    <w:tbl>
      <w:tblPr>
        <w:tblW w:w="0" w:type="auto"/>
        <w:tblCellMar>
          <w:left w:w="0" w:type="dxa"/>
          <w:right w:w="0" w:type="dxa"/>
        </w:tblCellMar>
        <w:tblLook w:val="04A0" w:firstRow="1" w:lastRow="0" w:firstColumn="1" w:lastColumn="0" w:noHBand="0" w:noVBand="1"/>
      </w:tblPr>
      <w:tblGrid>
        <w:gridCol w:w="900"/>
        <w:gridCol w:w="2796"/>
        <w:gridCol w:w="2928"/>
      </w:tblGrid>
      <w:tr w:rsidR="00330D7B" w:rsidRPr="00330D7B" w:rsidTr="00330D7B">
        <w:tc>
          <w:tcPr>
            <w:tcW w:w="900" w:type="dxa"/>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 xml:space="preserve">　</w:t>
            </w:r>
          </w:p>
        </w:tc>
        <w:tc>
          <w:tcPr>
            <w:tcW w:w="2796" w:type="dxa"/>
            <w:tcBorders>
              <w:top w:val="single" w:sz="6" w:space="0" w:color="auto"/>
              <w:left w:val="nil"/>
              <w:bottom w:val="single" w:sz="6" w:space="0" w:color="auto"/>
              <w:right w:val="single" w:sz="6" w:space="0" w:color="auto"/>
            </w:tcBorders>
            <w:shd w:val="clear" w:color="auto" w:fill="F79646"/>
            <w:noWrap/>
            <w:tcMar>
              <w:top w:w="0" w:type="dxa"/>
              <w:left w:w="105" w:type="dxa"/>
              <w:bottom w:w="0" w:type="dxa"/>
              <w:right w:w="105" w:type="dxa"/>
            </w:tcMar>
            <w:vAlign w:val="cente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深股通</w:t>
            </w:r>
          </w:p>
        </w:tc>
        <w:tc>
          <w:tcPr>
            <w:tcW w:w="2928" w:type="dxa"/>
            <w:tcBorders>
              <w:top w:val="single" w:sz="6" w:space="0" w:color="auto"/>
              <w:left w:val="nil"/>
              <w:bottom w:val="single" w:sz="6" w:space="0" w:color="auto"/>
              <w:right w:val="single" w:sz="6" w:space="0" w:color="auto"/>
            </w:tcBorders>
            <w:shd w:val="clear" w:color="auto" w:fill="8DB4E2"/>
            <w:noWrap/>
            <w:tcMar>
              <w:top w:w="0" w:type="dxa"/>
              <w:left w:w="105" w:type="dxa"/>
              <w:bottom w:w="0" w:type="dxa"/>
              <w:right w:w="105" w:type="dxa"/>
            </w:tcMar>
            <w:vAlign w:val="cente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港股通</w:t>
            </w:r>
          </w:p>
        </w:tc>
      </w:tr>
      <w:tr w:rsidR="00330D7B" w:rsidRPr="00330D7B" w:rsidTr="00330D7B">
        <w:tc>
          <w:tcPr>
            <w:tcW w:w="90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包括</w:t>
            </w:r>
          </w:p>
        </w:tc>
        <w:tc>
          <w:tcPr>
            <w:tcW w:w="2796" w:type="dxa"/>
            <w:tcBorders>
              <w:top w:val="nil"/>
              <w:left w:val="nil"/>
              <w:bottom w:val="single" w:sz="6" w:space="0" w:color="auto"/>
              <w:right w:val="single" w:sz="6" w:space="0" w:color="auto"/>
            </w:tcBorders>
            <w:shd w:val="clear" w:color="auto" w:fill="FDE9D9"/>
            <w:tcMar>
              <w:top w:w="0" w:type="dxa"/>
              <w:left w:w="105" w:type="dxa"/>
              <w:bottom w:w="0" w:type="dxa"/>
              <w:right w:w="105" w:type="dxa"/>
            </w:tcMa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1</w:t>
            </w:r>
            <w:r w:rsidRPr="00330D7B">
              <w:rPr>
                <w:rFonts w:ascii="宋体" w:eastAsia="宋体" w:hAnsi="宋体" w:cs="Arial" w:hint="eastAsia"/>
                <w:color w:val="2E2E2E"/>
                <w:kern w:val="0"/>
                <w:sz w:val="18"/>
                <w:szCs w:val="18"/>
              </w:rPr>
              <w:t>）深证成份指数及深证中小创新指数的成份股，且定期调整考察截止日前六个月</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股日均市值不低于人民币</w:t>
            </w:r>
            <w:r w:rsidRPr="00330D7B">
              <w:rPr>
                <w:rFonts w:ascii="Calibri" w:eastAsia="宋体" w:hAnsi="Calibri" w:cs="Calibri"/>
                <w:color w:val="2E2E2E"/>
                <w:kern w:val="0"/>
                <w:sz w:val="18"/>
                <w:szCs w:val="18"/>
              </w:rPr>
              <w:t>60</w:t>
            </w:r>
            <w:r w:rsidRPr="00330D7B">
              <w:rPr>
                <w:rFonts w:ascii="宋体" w:eastAsia="宋体" w:hAnsi="宋体" w:cs="Arial" w:hint="eastAsia"/>
                <w:color w:val="2E2E2E"/>
                <w:kern w:val="0"/>
                <w:sz w:val="18"/>
                <w:szCs w:val="18"/>
              </w:rPr>
              <w:t>亿元</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2</w:t>
            </w: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A+H</w:t>
            </w:r>
            <w:r w:rsidRPr="00330D7B">
              <w:rPr>
                <w:rFonts w:ascii="宋体" w:eastAsia="宋体" w:hAnsi="宋体" w:cs="Arial" w:hint="eastAsia"/>
                <w:color w:val="2E2E2E"/>
                <w:kern w:val="0"/>
                <w:sz w:val="18"/>
                <w:szCs w:val="18"/>
              </w:rPr>
              <w:t>股上市公司在深交所上市的</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w:t>
            </w:r>
          </w:p>
        </w:tc>
        <w:tc>
          <w:tcPr>
            <w:tcW w:w="2928" w:type="dxa"/>
            <w:tcBorders>
              <w:top w:val="nil"/>
              <w:left w:val="nil"/>
              <w:bottom w:val="single" w:sz="6" w:space="0" w:color="auto"/>
              <w:right w:val="single" w:sz="6" w:space="0" w:color="auto"/>
            </w:tcBorders>
            <w:shd w:val="clear" w:color="auto" w:fill="DAEEF3"/>
            <w:tcMar>
              <w:top w:w="0" w:type="dxa"/>
              <w:left w:w="105" w:type="dxa"/>
              <w:bottom w:w="0" w:type="dxa"/>
              <w:right w:w="105" w:type="dxa"/>
            </w:tcMa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1</w:t>
            </w:r>
            <w:r w:rsidRPr="00330D7B">
              <w:rPr>
                <w:rFonts w:ascii="宋体" w:eastAsia="宋体" w:hAnsi="宋体" w:cs="Arial" w:hint="eastAsia"/>
                <w:color w:val="2E2E2E"/>
                <w:kern w:val="0"/>
                <w:sz w:val="18"/>
                <w:szCs w:val="18"/>
              </w:rPr>
              <w:t>）恒生综合大型、中型、小型股指数成份股，且小型股指数成份股定期调整考察截止日十二个月港股平均月末市值不低于港币</w:t>
            </w:r>
            <w:r w:rsidRPr="00330D7B">
              <w:rPr>
                <w:rFonts w:ascii="Calibri" w:eastAsia="宋体" w:hAnsi="Calibri" w:cs="Calibri"/>
                <w:color w:val="2E2E2E"/>
                <w:kern w:val="0"/>
                <w:sz w:val="18"/>
                <w:szCs w:val="18"/>
              </w:rPr>
              <w:t>50</w:t>
            </w:r>
            <w:r w:rsidRPr="00330D7B">
              <w:rPr>
                <w:rFonts w:ascii="宋体" w:eastAsia="宋体" w:hAnsi="宋体" w:cs="Arial" w:hint="eastAsia"/>
                <w:color w:val="2E2E2E"/>
                <w:kern w:val="0"/>
                <w:sz w:val="18"/>
                <w:szCs w:val="18"/>
              </w:rPr>
              <w:t>亿元（</w:t>
            </w:r>
            <w:r w:rsidRPr="00330D7B">
              <w:rPr>
                <w:rFonts w:ascii="Calibri" w:eastAsia="宋体" w:hAnsi="Calibri" w:cs="Calibri"/>
                <w:color w:val="2E2E2E"/>
                <w:kern w:val="0"/>
                <w:sz w:val="18"/>
                <w:szCs w:val="18"/>
              </w:rPr>
              <w:t>2</w:t>
            </w: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A+H</w:t>
            </w:r>
            <w:r w:rsidRPr="00330D7B">
              <w:rPr>
                <w:rFonts w:ascii="宋体" w:eastAsia="宋体" w:hAnsi="宋体" w:cs="Arial" w:hint="eastAsia"/>
                <w:color w:val="2E2E2E"/>
                <w:kern w:val="0"/>
                <w:sz w:val="18"/>
                <w:szCs w:val="18"/>
              </w:rPr>
              <w:t>股上市公司在联交所上市的</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w:t>
            </w:r>
          </w:p>
        </w:tc>
      </w:tr>
      <w:tr w:rsidR="00330D7B" w:rsidRPr="00330D7B" w:rsidTr="00330D7B">
        <w:tc>
          <w:tcPr>
            <w:tcW w:w="90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不包括</w:t>
            </w:r>
          </w:p>
        </w:tc>
        <w:tc>
          <w:tcPr>
            <w:tcW w:w="2796" w:type="dxa"/>
            <w:tcBorders>
              <w:top w:val="nil"/>
              <w:left w:val="nil"/>
              <w:bottom w:val="single" w:sz="6" w:space="0" w:color="auto"/>
              <w:right w:val="single" w:sz="6" w:space="0" w:color="auto"/>
            </w:tcBorders>
            <w:shd w:val="clear" w:color="auto" w:fill="FDE9D9"/>
            <w:tcMar>
              <w:top w:w="0" w:type="dxa"/>
              <w:left w:w="105" w:type="dxa"/>
              <w:bottom w:w="0" w:type="dxa"/>
              <w:right w:w="105" w:type="dxa"/>
            </w:tcMa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1</w:t>
            </w:r>
            <w:r w:rsidRPr="00330D7B">
              <w:rPr>
                <w:rFonts w:ascii="宋体" w:eastAsia="宋体" w:hAnsi="宋体" w:cs="Arial" w:hint="eastAsia"/>
                <w:color w:val="2E2E2E"/>
                <w:kern w:val="0"/>
                <w:sz w:val="18"/>
                <w:szCs w:val="18"/>
              </w:rPr>
              <w:t>）被深交所实施风险警示的股票</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2</w:t>
            </w:r>
            <w:r w:rsidRPr="00330D7B">
              <w:rPr>
                <w:rFonts w:ascii="宋体" w:eastAsia="宋体" w:hAnsi="宋体" w:cs="Arial" w:hint="eastAsia"/>
                <w:color w:val="2E2E2E"/>
                <w:kern w:val="0"/>
                <w:sz w:val="18"/>
                <w:szCs w:val="18"/>
              </w:rPr>
              <w:t>）被深交所暂停上市的股票</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3</w:t>
            </w:r>
            <w:r w:rsidRPr="00330D7B">
              <w:rPr>
                <w:rFonts w:ascii="宋体" w:eastAsia="宋体" w:hAnsi="宋体" w:cs="Arial" w:hint="eastAsia"/>
                <w:color w:val="2E2E2E"/>
                <w:kern w:val="0"/>
                <w:sz w:val="18"/>
                <w:szCs w:val="18"/>
              </w:rPr>
              <w:t>）退市整理期股票</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4</w:t>
            </w:r>
            <w:r w:rsidRPr="00330D7B">
              <w:rPr>
                <w:rFonts w:ascii="宋体" w:eastAsia="宋体" w:hAnsi="宋体" w:cs="Arial" w:hint="eastAsia"/>
                <w:color w:val="2E2E2E"/>
                <w:kern w:val="0"/>
                <w:sz w:val="18"/>
                <w:szCs w:val="18"/>
              </w:rPr>
              <w:t>）以外币报价交易的股票（即</w:t>
            </w:r>
            <w:r w:rsidRPr="00330D7B">
              <w:rPr>
                <w:rFonts w:ascii="Calibri" w:eastAsia="宋体" w:hAnsi="Calibri" w:cs="Calibri"/>
                <w:color w:val="2E2E2E"/>
                <w:kern w:val="0"/>
                <w:sz w:val="18"/>
                <w:szCs w:val="18"/>
              </w:rPr>
              <w:t>B</w:t>
            </w:r>
            <w:r w:rsidRPr="00330D7B">
              <w:rPr>
                <w:rFonts w:ascii="宋体" w:eastAsia="宋体" w:hAnsi="宋体" w:cs="Arial" w:hint="eastAsia"/>
                <w:color w:val="2E2E2E"/>
                <w:kern w:val="0"/>
                <w:sz w:val="18"/>
                <w:szCs w:val="18"/>
              </w:rPr>
              <w:t>股）</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5</w:t>
            </w:r>
            <w:r w:rsidRPr="00330D7B">
              <w:rPr>
                <w:rFonts w:ascii="宋体" w:eastAsia="宋体" w:hAnsi="宋体" w:cs="Arial" w:hint="eastAsia"/>
                <w:color w:val="2E2E2E"/>
                <w:kern w:val="0"/>
                <w:sz w:val="18"/>
                <w:szCs w:val="18"/>
              </w:rPr>
              <w:t>）深交所认定的其他特殊情形</w:t>
            </w:r>
          </w:p>
        </w:tc>
        <w:tc>
          <w:tcPr>
            <w:tcW w:w="2928" w:type="dxa"/>
            <w:tcBorders>
              <w:top w:val="nil"/>
              <w:left w:val="nil"/>
              <w:bottom w:val="single" w:sz="6" w:space="0" w:color="auto"/>
              <w:right w:val="single" w:sz="6" w:space="0" w:color="auto"/>
            </w:tcBorders>
            <w:shd w:val="clear" w:color="auto" w:fill="DAEEF3"/>
            <w:tcMar>
              <w:top w:w="0" w:type="dxa"/>
              <w:left w:w="105" w:type="dxa"/>
              <w:bottom w:w="0" w:type="dxa"/>
              <w:right w:w="105" w:type="dxa"/>
            </w:tcMar>
            <w:hideMark/>
          </w:tcPr>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1</w:t>
            </w:r>
            <w:r w:rsidRPr="00330D7B">
              <w:rPr>
                <w:rFonts w:ascii="宋体" w:eastAsia="宋体" w:hAnsi="宋体" w:cs="Arial" w:hint="eastAsia"/>
                <w:color w:val="2E2E2E"/>
                <w:kern w:val="0"/>
                <w:sz w:val="18"/>
                <w:szCs w:val="18"/>
              </w:rPr>
              <w:t>）在深交所上市的</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股被实施风险警示、被暂停上市或者进入退市整理期的</w:t>
            </w:r>
            <w:r w:rsidRPr="00330D7B">
              <w:rPr>
                <w:rFonts w:ascii="Calibri" w:eastAsia="宋体" w:hAnsi="Calibri" w:cs="Calibri"/>
                <w:color w:val="2E2E2E"/>
                <w:kern w:val="0"/>
                <w:sz w:val="18"/>
                <w:szCs w:val="18"/>
              </w:rPr>
              <w:t>A+H</w:t>
            </w:r>
            <w:r w:rsidRPr="00330D7B">
              <w:rPr>
                <w:rFonts w:ascii="宋体" w:eastAsia="宋体" w:hAnsi="宋体" w:cs="Arial" w:hint="eastAsia"/>
                <w:color w:val="2E2E2E"/>
                <w:kern w:val="0"/>
                <w:sz w:val="18"/>
                <w:szCs w:val="18"/>
              </w:rPr>
              <w:t>股上市公司的相应</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2</w:t>
            </w: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股在上交所风险警示板交易或被暂停上市的</w:t>
            </w:r>
            <w:r w:rsidRPr="00330D7B">
              <w:rPr>
                <w:rFonts w:ascii="Calibri" w:eastAsia="宋体" w:hAnsi="Calibri" w:cs="Calibri"/>
                <w:color w:val="2E2E2E"/>
                <w:kern w:val="0"/>
                <w:sz w:val="18"/>
                <w:szCs w:val="18"/>
              </w:rPr>
              <w:t>A+H</w:t>
            </w:r>
            <w:r w:rsidRPr="00330D7B">
              <w:rPr>
                <w:rFonts w:ascii="宋体" w:eastAsia="宋体" w:hAnsi="宋体" w:cs="Arial" w:hint="eastAsia"/>
                <w:color w:val="2E2E2E"/>
                <w:kern w:val="0"/>
                <w:sz w:val="18"/>
                <w:szCs w:val="18"/>
              </w:rPr>
              <w:t>股上市公司的相应</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3</w:t>
            </w:r>
            <w:r w:rsidRPr="00330D7B">
              <w:rPr>
                <w:rFonts w:ascii="宋体" w:eastAsia="宋体" w:hAnsi="宋体" w:cs="Arial" w:hint="eastAsia"/>
                <w:color w:val="2E2E2E"/>
                <w:kern w:val="0"/>
                <w:sz w:val="18"/>
                <w:szCs w:val="18"/>
              </w:rPr>
              <w:t>）在联交所以港币以外货币报价交易的股票</w:t>
            </w:r>
          </w:p>
          <w:p w:rsidR="00330D7B" w:rsidRPr="00330D7B" w:rsidRDefault="00330D7B" w:rsidP="00330D7B">
            <w:pPr>
              <w:widowControl/>
              <w:spacing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w:t>
            </w:r>
            <w:r w:rsidRPr="00330D7B">
              <w:rPr>
                <w:rFonts w:ascii="Calibri" w:eastAsia="宋体" w:hAnsi="Calibri" w:cs="Calibri"/>
                <w:color w:val="2E2E2E"/>
                <w:kern w:val="0"/>
                <w:sz w:val="18"/>
                <w:szCs w:val="18"/>
              </w:rPr>
              <w:t>4</w:t>
            </w:r>
            <w:r w:rsidRPr="00330D7B">
              <w:rPr>
                <w:rFonts w:ascii="宋体" w:eastAsia="宋体" w:hAnsi="宋体" w:cs="Arial" w:hint="eastAsia"/>
                <w:color w:val="2E2E2E"/>
                <w:kern w:val="0"/>
                <w:sz w:val="18"/>
                <w:szCs w:val="18"/>
              </w:rPr>
              <w:t>）深交所认定的其他特殊情形</w:t>
            </w:r>
          </w:p>
        </w:tc>
      </w:tr>
    </w:tbl>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Arial" w:eastAsia="宋体" w:hAnsi="Arial" w:cs="Arial"/>
          <w:color w:val="000000"/>
          <w:kern w:val="0"/>
          <w:sz w:val="18"/>
          <w:szCs w:val="18"/>
        </w:rPr>
        <w:t> </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四、深港通标的股票的市值筛选标准如何实施？</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为防范中小市值股票跨境市场炒作和操纵风险，深港通对标的股票引入市值筛选标准。市值筛选标准具体实施时，有三个方面内容需要投资者关注：一是为避免因市值波动频繁调整标的范围，给市场投资操作带来不必要的影响，市值标准仅在指数成份股定期调整时执行。二是市值标准的考察期、计算方法与指数成份股定期调整保持一致，深港通标的的市值计算方法为指数成份股定期调整考察截止日前六个月的日均市值，港股通标的市值计算方法为指数成份股定期调整考察截止日前十二个月的港股平均月末市值。三是</w:t>
      </w:r>
      <w:r w:rsidRPr="00330D7B">
        <w:rPr>
          <w:rFonts w:ascii="Calibri" w:eastAsia="宋体" w:hAnsi="Calibri" w:cs="Calibri"/>
          <w:color w:val="2E2E2E"/>
          <w:kern w:val="0"/>
          <w:sz w:val="18"/>
          <w:szCs w:val="18"/>
        </w:rPr>
        <w:t>A+H</w:t>
      </w:r>
      <w:r w:rsidRPr="00330D7B">
        <w:rPr>
          <w:rFonts w:ascii="宋体" w:eastAsia="宋体" w:hAnsi="宋体" w:cs="Arial" w:hint="eastAsia"/>
          <w:color w:val="2E2E2E"/>
          <w:kern w:val="0"/>
          <w:sz w:val="18"/>
          <w:szCs w:val="18"/>
        </w:rPr>
        <w:t>股不进行市值筛选。</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五、深港通标的股票调入调出遵循何种规则？</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对于深股通和港股通标的股票，因相关指数实施成份股调整等原因，导致部分股票符合纳入深股通（港股通）股票范围的，则调入深股通（港股通）股票。深股通（港股通）股票因实施指数成份股调整等原因，导致不再符合标的股票范围的，则调出。</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lastRenderedPageBreak/>
        <w:t>其中，</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股上市公司在联交所上市</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股，或者联交所</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股上市公司在境内上市</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股，或者公司同日上市</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股和联交所</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股的：其</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股在上市满</w:t>
      </w:r>
      <w:r w:rsidRPr="00330D7B">
        <w:rPr>
          <w:rFonts w:ascii="Calibri" w:eastAsia="宋体" w:hAnsi="Calibri" w:cs="Calibri"/>
          <w:color w:val="2E2E2E"/>
          <w:kern w:val="0"/>
          <w:sz w:val="18"/>
          <w:szCs w:val="18"/>
        </w:rPr>
        <w:t>10</w:t>
      </w:r>
      <w:r w:rsidRPr="00330D7B">
        <w:rPr>
          <w:rFonts w:ascii="宋体" w:eastAsia="宋体" w:hAnsi="宋体" w:cs="Arial" w:hint="eastAsia"/>
          <w:color w:val="2E2E2E"/>
          <w:kern w:val="0"/>
          <w:sz w:val="18"/>
          <w:szCs w:val="18"/>
        </w:rPr>
        <w:t>个交易日且相应</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股价格稳定期结束后调入深股通股票；其</w:t>
      </w:r>
      <w:r w:rsidRPr="00330D7B">
        <w:rPr>
          <w:rFonts w:ascii="Calibri" w:eastAsia="宋体" w:hAnsi="Calibri" w:cs="Calibri"/>
          <w:color w:val="2E2E2E"/>
          <w:kern w:val="0"/>
          <w:sz w:val="18"/>
          <w:szCs w:val="18"/>
        </w:rPr>
        <w:t>H</w:t>
      </w:r>
      <w:r w:rsidRPr="00330D7B">
        <w:rPr>
          <w:rFonts w:ascii="宋体" w:eastAsia="宋体" w:hAnsi="宋体" w:cs="Arial" w:hint="eastAsia"/>
          <w:color w:val="2E2E2E"/>
          <w:kern w:val="0"/>
          <w:sz w:val="18"/>
          <w:szCs w:val="18"/>
        </w:rPr>
        <w:t>股在价格稳定期结束且相应</w:t>
      </w:r>
      <w:r w:rsidRPr="00330D7B">
        <w:rPr>
          <w:rFonts w:ascii="Calibri" w:eastAsia="宋体" w:hAnsi="Calibri" w:cs="Calibri"/>
          <w:color w:val="2E2E2E"/>
          <w:kern w:val="0"/>
          <w:sz w:val="18"/>
          <w:szCs w:val="18"/>
        </w:rPr>
        <w:t>A</w:t>
      </w:r>
      <w:r w:rsidRPr="00330D7B">
        <w:rPr>
          <w:rFonts w:ascii="宋体" w:eastAsia="宋体" w:hAnsi="宋体" w:cs="Arial" w:hint="eastAsia"/>
          <w:color w:val="2E2E2E"/>
          <w:kern w:val="0"/>
          <w:sz w:val="18"/>
          <w:szCs w:val="18"/>
        </w:rPr>
        <w:t>股上市满</w:t>
      </w:r>
      <w:r w:rsidRPr="00330D7B">
        <w:rPr>
          <w:rFonts w:ascii="Calibri" w:eastAsia="宋体" w:hAnsi="Calibri" w:cs="Calibri"/>
          <w:color w:val="2E2E2E"/>
          <w:kern w:val="0"/>
          <w:sz w:val="18"/>
          <w:szCs w:val="18"/>
        </w:rPr>
        <w:t>10</w:t>
      </w:r>
      <w:r w:rsidRPr="00330D7B">
        <w:rPr>
          <w:rFonts w:ascii="宋体" w:eastAsia="宋体" w:hAnsi="宋体" w:cs="Arial" w:hint="eastAsia"/>
          <w:color w:val="2E2E2E"/>
          <w:kern w:val="0"/>
          <w:sz w:val="18"/>
          <w:szCs w:val="18"/>
        </w:rPr>
        <w:t>个交易日后调入港股通股票。</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提示投资者注意，股票调出深股通（港股通）股票，投资者不得通过深股通（港股通）股票买入，但可以卖出。调入或调出深股通或港股通股票的生效时间，分别以联交所证券交易服务公司或深交所证券交易服务公司公布的时间为准。</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b/>
          <w:bCs/>
          <w:color w:val="2E2E2E"/>
          <w:kern w:val="0"/>
          <w:sz w:val="18"/>
          <w:szCs w:val="18"/>
        </w:rPr>
        <w:t>六、深港通的额度控制是如何规定的？</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深港通不设总额度限制，但为防范资金每日大进大出的跨境流动风险，深港通设置了每日额度的限制，具体如下：</w:t>
      </w:r>
    </w:p>
    <w:tbl>
      <w:tblPr>
        <w:tblW w:w="6624" w:type="dxa"/>
        <w:tblCellMar>
          <w:left w:w="0" w:type="dxa"/>
          <w:right w:w="0" w:type="dxa"/>
        </w:tblCellMar>
        <w:tblLook w:val="04A0" w:firstRow="1" w:lastRow="0" w:firstColumn="1" w:lastColumn="0" w:noHBand="0" w:noVBand="1"/>
      </w:tblPr>
      <w:tblGrid>
        <w:gridCol w:w="1128"/>
        <w:gridCol w:w="2568"/>
        <w:gridCol w:w="2928"/>
      </w:tblGrid>
      <w:tr w:rsidR="00330D7B" w:rsidRPr="00330D7B" w:rsidTr="00330D7B">
        <w:trPr>
          <w:trHeight w:val="216"/>
        </w:trPr>
        <w:tc>
          <w:tcPr>
            <w:tcW w:w="1128" w:type="dxa"/>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 xml:space="preserve">　</w:t>
            </w:r>
          </w:p>
        </w:tc>
        <w:tc>
          <w:tcPr>
            <w:tcW w:w="2568" w:type="dxa"/>
            <w:tcBorders>
              <w:top w:val="single" w:sz="6" w:space="0" w:color="auto"/>
              <w:left w:val="nil"/>
              <w:bottom w:val="single" w:sz="6" w:space="0" w:color="auto"/>
              <w:right w:val="single" w:sz="6" w:space="0" w:color="auto"/>
            </w:tcBorders>
            <w:shd w:val="clear" w:color="auto" w:fill="F79646"/>
            <w:noWrap/>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深股通</w:t>
            </w:r>
          </w:p>
        </w:tc>
        <w:tc>
          <w:tcPr>
            <w:tcW w:w="2928" w:type="dxa"/>
            <w:tcBorders>
              <w:top w:val="single" w:sz="6" w:space="0" w:color="auto"/>
              <w:left w:val="nil"/>
              <w:bottom w:val="single" w:sz="6" w:space="0" w:color="auto"/>
              <w:right w:val="single" w:sz="6" w:space="0" w:color="auto"/>
            </w:tcBorders>
            <w:shd w:val="clear" w:color="auto" w:fill="8DB4E2"/>
            <w:noWrap/>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港股通</w:t>
            </w:r>
          </w:p>
        </w:tc>
      </w:tr>
      <w:tr w:rsidR="00330D7B" w:rsidRPr="00330D7B" w:rsidTr="00330D7B">
        <w:trPr>
          <w:trHeight w:val="216"/>
        </w:trPr>
        <w:tc>
          <w:tcPr>
            <w:tcW w:w="1128"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每日额度</w:t>
            </w:r>
          </w:p>
        </w:tc>
        <w:tc>
          <w:tcPr>
            <w:tcW w:w="2568" w:type="dxa"/>
            <w:tcBorders>
              <w:top w:val="nil"/>
              <w:left w:val="nil"/>
              <w:bottom w:val="single" w:sz="6" w:space="0" w:color="auto"/>
              <w:right w:val="single" w:sz="6" w:space="0" w:color="auto"/>
            </w:tcBorders>
            <w:shd w:val="clear" w:color="auto" w:fill="FDE9D9"/>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人民币</w:t>
            </w:r>
            <w:r w:rsidRPr="00330D7B">
              <w:rPr>
                <w:rFonts w:ascii="Calibri" w:eastAsia="宋体" w:hAnsi="Calibri" w:cs="Calibri"/>
                <w:color w:val="2E2E2E"/>
                <w:kern w:val="0"/>
                <w:sz w:val="18"/>
                <w:szCs w:val="18"/>
              </w:rPr>
              <w:t>130</w:t>
            </w:r>
            <w:r w:rsidRPr="00330D7B">
              <w:rPr>
                <w:rFonts w:ascii="宋体" w:eastAsia="宋体" w:hAnsi="宋体" w:cs="Arial" w:hint="eastAsia"/>
                <w:color w:val="2E2E2E"/>
                <w:kern w:val="0"/>
                <w:sz w:val="18"/>
                <w:szCs w:val="18"/>
              </w:rPr>
              <w:t>亿元</w:t>
            </w:r>
          </w:p>
        </w:tc>
        <w:tc>
          <w:tcPr>
            <w:tcW w:w="2928" w:type="dxa"/>
            <w:tcBorders>
              <w:top w:val="nil"/>
              <w:left w:val="nil"/>
              <w:bottom w:val="single" w:sz="6" w:space="0" w:color="auto"/>
              <w:right w:val="single" w:sz="6" w:space="0" w:color="auto"/>
            </w:tcBorders>
            <w:shd w:val="clear" w:color="auto" w:fill="C5D9F1"/>
            <w:tcMar>
              <w:top w:w="0" w:type="dxa"/>
              <w:left w:w="105" w:type="dxa"/>
              <w:bottom w:w="0" w:type="dxa"/>
              <w:right w:w="105" w:type="dxa"/>
            </w:tcMar>
            <w:vAlign w:val="center"/>
            <w:hideMark/>
          </w:tcPr>
          <w:p w:rsidR="00330D7B" w:rsidRPr="00330D7B" w:rsidRDefault="00330D7B" w:rsidP="00330D7B">
            <w:pPr>
              <w:widowControl/>
              <w:spacing w:line="216"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人民币</w:t>
            </w:r>
            <w:r w:rsidRPr="00330D7B">
              <w:rPr>
                <w:rFonts w:ascii="Calibri" w:eastAsia="宋体" w:hAnsi="Calibri" w:cs="Calibri"/>
                <w:color w:val="2E2E2E"/>
                <w:kern w:val="0"/>
                <w:sz w:val="18"/>
                <w:szCs w:val="18"/>
              </w:rPr>
              <w:t>105</w:t>
            </w:r>
            <w:r w:rsidRPr="00330D7B">
              <w:rPr>
                <w:rFonts w:ascii="宋体" w:eastAsia="宋体" w:hAnsi="宋体" w:cs="Arial" w:hint="eastAsia"/>
                <w:color w:val="2E2E2E"/>
                <w:kern w:val="0"/>
                <w:sz w:val="18"/>
                <w:szCs w:val="18"/>
              </w:rPr>
              <w:t>亿元</w:t>
            </w:r>
          </w:p>
        </w:tc>
      </w:tr>
    </w:tbl>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当日额度余额的计算公式为：深股通（港股通）当日额度余额</w:t>
      </w:r>
      <w:r w:rsidRPr="00330D7B">
        <w:rPr>
          <w:rFonts w:ascii="Calibri" w:eastAsia="宋体" w:hAnsi="Calibri" w:cs="Calibri"/>
          <w:color w:val="2E2E2E"/>
          <w:kern w:val="0"/>
          <w:sz w:val="18"/>
          <w:szCs w:val="18"/>
        </w:rPr>
        <w:t>=</w:t>
      </w:r>
      <w:r w:rsidRPr="00330D7B">
        <w:rPr>
          <w:rFonts w:ascii="宋体" w:eastAsia="宋体" w:hAnsi="宋体" w:cs="Arial" w:hint="eastAsia"/>
          <w:color w:val="2E2E2E"/>
          <w:kern w:val="0"/>
          <w:sz w:val="18"/>
          <w:szCs w:val="18"/>
        </w:rPr>
        <w:t>每日额度</w:t>
      </w:r>
      <w:r w:rsidRPr="00330D7B">
        <w:rPr>
          <w:rFonts w:ascii="Calibri" w:eastAsia="宋体" w:hAnsi="Calibri" w:cs="Calibri"/>
          <w:color w:val="2E2E2E"/>
          <w:kern w:val="0"/>
          <w:sz w:val="18"/>
          <w:szCs w:val="18"/>
        </w:rPr>
        <w:t>-</w:t>
      </w:r>
      <w:r w:rsidRPr="00330D7B">
        <w:rPr>
          <w:rFonts w:ascii="宋体" w:eastAsia="宋体" w:hAnsi="宋体" w:cs="Arial" w:hint="eastAsia"/>
          <w:color w:val="2E2E2E"/>
          <w:kern w:val="0"/>
          <w:sz w:val="18"/>
          <w:szCs w:val="18"/>
        </w:rPr>
        <w:t>买入申报金额</w:t>
      </w:r>
      <w:r w:rsidRPr="00330D7B">
        <w:rPr>
          <w:rFonts w:ascii="Calibri" w:eastAsia="宋体" w:hAnsi="Calibri" w:cs="Calibri"/>
          <w:color w:val="2E2E2E"/>
          <w:kern w:val="0"/>
          <w:sz w:val="18"/>
          <w:szCs w:val="18"/>
        </w:rPr>
        <w:t>+</w:t>
      </w:r>
      <w:r w:rsidRPr="00330D7B">
        <w:rPr>
          <w:rFonts w:ascii="宋体" w:eastAsia="宋体" w:hAnsi="宋体" w:cs="Arial" w:hint="eastAsia"/>
          <w:color w:val="2E2E2E"/>
          <w:kern w:val="0"/>
          <w:sz w:val="18"/>
          <w:szCs w:val="18"/>
        </w:rPr>
        <w:t>卖出成交金额</w:t>
      </w:r>
      <w:r w:rsidRPr="00330D7B">
        <w:rPr>
          <w:rFonts w:ascii="Calibri" w:eastAsia="宋体" w:hAnsi="Calibri" w:cs="Calibri"/>
          <w:color w:val="2E2E2E"/>
          <w:kern w:val="0"/>
          <w:sz w:val="18"/>
          <w:szCs w:val="18"/>
        </w:rPr>
        <w:t>+</w:t>
      </w:r>
      <w:r w:rsidRPr="00330D7B">
        <w:rPr>
          <w:rFonts w:ascii="宋体" w:eastAsia="宋体" w:hAnsi="宋体" w:cs="Arial" w:hint="eastAsia"/>
          <w:color w:val="2E2E2E"/>
          <w:kern w:val="0"/>
          <w:sz w:val="18"/>
          <w:szCs w:val="18"/>
        </w:rPr>
        <w:t>被撤销和被深交所（联交所）拒绝接受的买入申报金额</w:t>
      </w:r>
      <w:r w:rsidRPr="00330D7B">
        <w:rPr>
          <w:rFonts w:ascii="Calibri" w:eastAsia="宋体" w:hAnsi="Calibri" w:cs="Calibri"/>
          <w:color w:val="2E2E2E"/>
          <w:kern w:val="0"/>
          <w:sz w:val="18"/>
          <w:szCs w:val="18"/>
        </w:rPr>
        <w:t>+</w:t>
      </w:r>
      <w:r w:rsidRPr="00330D7B">
        <w:rPr>
          <w:rFonts w:ascii="宋体" w:eastAsia="宋体" w:hAnsi="宋体" w:cs="Arial" w:hint="eastAsia"/>
          <w:color w:val="2E2E2E"/>
          <w:kern w:val="0"/>
          <w:sz w:val="18"/>
          <w:szCs w:val="18"/>
        </w:rPr>
        <w:t>买入成交价低于申报价的差额。在额度统计口径上，以投资者在交易环节发生的如申报、成交金额等作为计算依据进行额度控制。</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这里需提醒参与港股通交易的内地投资者注意，当日港股通额度余额使用完毕，可能会影响投资者的买入申报。具体来说，当日额度在联交所开市前时段使用完毕的，深交所证券交易服务公司暂停接受相应时段后续的买入申报，在该时段结束前不再恢复，但仍然接受卖出申报。因卖出申报成交等情形，导致当日额度余额大于零的，深交所证券交易服务公司在联交所持续交易时段开始时恢复接受后续的买入申报。当日额度在联交所持续交易时段或者收市竞价时段使用完毕的，深交所证券交易服务公司停止接受当日后续的买入申报，但仍然接受卖出申报。在上述时段停止接受买入申报的，当日不再恢复，深交所另有规定的除外。</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宋体" w:eastAsia="宋体" w:hAnsi="宋体" w:cs="Arial" w:hint="eastAsia"/>
          <w:color w:val="2E2E2E"/>
          <w:kern w:val="0"/>
          <w:sz w:val="18"/>
          <w:szCs w:val="18"/>
        </w:rPr>
        <w:t>此外，深港通下的港股通和沪港通下的港股通每日额度由深沪证券交易所分别控制，即均为</w:t>
      </w:r>
      <w:r w:rsidRPr="00330D7B">
        <w:rPr>
          <w:rFonts w:ascii="Calibri" w:eastAsia="宋体" w:hAnsi="Calibri" w:cs="Calibri"/>
          <w:color w:val="2E2E2E"/>
          <w:kern w:val="0"/>
          <w:sz w:val="18"/>
          <w:szCs w:val="18"/>
        </w:rPr>
        <w:t>105</w:t>
      </w:r>
      <w:r w:rsidRPr="00330D7B">
        <w:rPr>
          <w:rFonts w:ascii="宋体" w:eastAsia="宋体" w:hAnsi="宋体" w:cs="Arial" w:hint="eastAsia"/>
          <w:color w:val="2E2E2E"/>
          <w:kern w:val="0"/>
          <w:sz w:val="18"/>
          <w:szCs w:val="18"/>
        </w:rPr>
        <w:t>亿元人民币，互不影响、也不相互调剂。</w:t>
      </w:r>
    </w:p>
    <w:p w:rsidR="00330D7B" w:rsidRPr="00330D7B" w:rsidRDefault="00330D7B" w:rsidP="00330D7B">
      <w:pPr>
        <w:widowControl/>
        <w:spacing w:before="75" w:after="75" w:line="360" w:lineRule="atLeast"/>
        <w:ind w:firstLine="360"/>
        <w:jc w:val="left"/>
        <w:rPr>
          <w:rFonts w:ascii="Arial" w:eastAsia="宋体" w:hAnsi="Arial" w:cs="Arial"/>
          <w:color w:val="000000"/>
          <w:kern w:val="0"/>
          <w:sz w:val="24"/>
          <w:szCs w:val="24"/>
        </w:rPr>
      </w:pPr>
      <w:r w:rsidRPr="00330D7B">
        <w:rPr>
          <w:rFonts w:ascii="Arial" w:eastAsia="宋体" w:hAnsi="Arial" w:cs="Arial"/>
          <w:color w:val="000000"/>
          <w:kern w:val="0"/>
          <w:sz w:val="18"/>
          <w:szCs w:val="18"/>
        </w:rPr>
        <w:t> </w:t>
      </w:r>
    </w:p>
    <w:p w:rsidR="00330D7B" w:rsidRPr="00330D7B" w:rsidRDefault="00330D7B" w:rsidP="00330D7B">
      <w:pPr>
        <w:widowControl/>
        <w:spacing w:before="75" w:after="75" w:line="360" w:lineRule="atLeast"/>
        <w:ind w:firstLine="480"/>
        <w:jc w:val="left"/>
        <w:rPr>
          <w:rFonts w:ascii="Arial" w:eastAsia="宋体" w:hAnsi="Arial" w:cs="Arial"/>
          <w:color w:val="000000"/>
          <w:kern w:val="0"/>
          <w:sz w:val="24"/>
          <w:szCs w:val="24"/>
        </w:rPr>
      </w:pPr>
      <w:r w:rsidRPr="00330D7B">
        <w:rPr>
          <w:rFonts w:ascii="楷体" w:eastAsia="楷体" w:hAnsi="楷体" w:cs="Arial" w:hint="eastAsia"/>
          <w:color w:val="2E2E2E"/>
          <w:kern w:val="0"/>
          <w:sz w:val="24"/>
          <w:szCs w:val="24"/>
        </w:rPr>
        <w:t>（免责声明：本栏目的信息不构成任何投资建议，投资者不应以该等信息取代其独立判断或仅根据该等信息做出决策。供稿人力求本栏目文章所涉信息准确可靠，但并不对其准确性、完整性和及时性做出任何保证，亦不对因使用本栏目信息引发的损失承担责任。）</w:t>
      </w:r>
    </w:p>
    <w:p w:rsidR="00330D7B" w:rsidRPr="00330D7B" w:rsidRDefault="00330D7B" w:rsidP="00330D7B">
      <w:pPr>
        <w:widowControl/>
        <w:spacing w:before="75" w:after="75"/>
        <w:jc w:val="left"/>
        <w:rPr>
          <w:rFonts w:ascii="Arial" w:eastAsia="宋体" w:hAnsi="Arial" w:cs="Arial"/>
          <w:color w:val="000000"/>
          <w:kern w:val="0"/>
          <w:sz w:val="24"/>
          <w:szCs w:val="24"/>
        </w:rPr>
      </w:pPr>
      <w:r w:rsidRPr="00330D7B">
        <w:rPr>
          <w:rFonts w:ascii="Calibri" w:eastAsia="宋体" w:hAnsi="Calibri" w:cs="Calibri"/>
          <w:color w:val="000000"/>
          <w:kern w:val="0"/>
          <w:sz w:val="24"/>
          <w:szCs w:val="24"/>
        </w:rPr>
        <w:t> </w:t>
      </w:r>
    </w:p>
    <w:p w:rsidR="00087A6D" w:rsidRDefault="00087A6D"/>
    <w:sectPr w:rsidR="00087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B1"/>
    <w:rsid w:val="00087A6D"/>
    <w:rsid w:val="00330D7B"/>
    <w:rsid w:val="0045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D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D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30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48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顾程祥/htsec</dc:creator>
  <cp:keywords/>
  <dc:description/>
  <cp:lastModifiedBy>顾程祥/htsec</cp:lastModifiedBy>
  <cp:revision>2</cp:revision>
  <dcterms:created xsi:type="dcterms:W3CDTF">2016-11-01T08:09:00Z</dcterms:created>
  <dcterms:modified xsi:type="dcterms:W3CDTF">2016-11-01T08:09:00Z</dcterms:modified>
</cp:coreProperties>
</file>