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74" w:rsidRPr="00C10974" w:rsidRDefault="00C10974" w:rsidP="00C10974">
      <w:pPr>
        <w:widowControl/>
        <w:shd w:val="clear" w:color="auto" w:fill="FFFFFF"/>
        <w:spacing w:line="525" w:lineRule="atLeast"/>
        <w:jc w:val="center"/>
        <w:rPr>
          <w:rFonts w:ascii="微软雅黑" w:eastAsia="微软雅黑" w:hAnsi="微软雅黑" w:cs="宋体"/>
          <w:b/>
          <w:bCs/>
          <w:kern w:val="0"/>
          <w:sz w:val="30"/>
          <w:szCs w:val="30"/>
        </w:rPr>
      </w:pPr>
      <w:r w:rsidRPr="00C10974">
        <w:rPr>
          <w:rFonts w:ascii="微软雅黑" w:eastAsia="微软雅黑" w:hAnsi="微软雅黑" w:cs="宋体" w:hint="eastAsia"/>
          <w:b/>
          <w:bCs/>
          <w:kern w:val="0"/>
          <w:sz w:val="30"/>
          <w:szCs w:val="30"/>
        </w:rPr>
        <w:t>中国人民银行、中国证监会关于沪港股票市场交易互联互通机制试点有关问题的通知</w:t>
      </w:r>
    </w:p>
    <w:p w:rsidR="00C10974" w:rsidRPr="00C10974" w:rsidRDefault="00C10974" w:rsidP="00C10974">
      <w:pPr>
        <w:widowControl/>
        <w:shd w:val="clear" w:color="auto" w:fill="FFFFFF"/>
        <w:spacing w:line="480" w:lineRule="auto"/>
        <w:jc w:val="center"/>
        <w:rPr>
          <w:rFonts w:ascii="inherit" w:eastAsia="宋体" w:hAnsi="inherit" w:cs="宋体" w:hint="eastAsia"/>
          <w:color w:val="888888"/>
          <w:kern w:val="0"/>
          <w:sz w:val="18"/>
          <w:szCs w:val="18"/>
        </w:rPr>
      </w:pPr>
      <w:r w:rsidRPr="00C10974">
        <w:rPr>
          <w:rFonts w:ascii="inherit" w:eastAsia="宋体" w:hAnsi="inherit" w:cs="宋体"/>
          <w:color w:val="888888"/>
          <w:kern w:val="0"/>
          <w:sz w:val="18"/>
          <w:szCs w:val="18"/>
        </w:rPr>
        <w:t>中国证监会</w:t>
      </w:r>
      <w:r w:rsidRPr="00C10974">
        <w:rPr>
          <w:rFonts w:ascii="inherit" w:eastAsia="宋体" w:hAnsi="inherit" w:cs="宋体"/>
          <w:color w:val="888888"/>
          <w:kern w:val="0"/>
          <w:sz w:val="18"/>
          <w:szCs w:val="18"/>
        </w:rPr>
        <w:t xml:space="preserve"> www.csrc.gov.cn </w:t>
      </w:r>
      <w:r w:rsidRPr="00C10974">
        <w:rPr>
          <w:rFonts w:ascii="inherit" w:eastAsia="宋体" w:hAnsi="inherit" w:cs="宋体"/>
          <w:color w:val="888888"/>
          <w:kern w:val="0"/>
          <w:sz w:val="18"/>
          <w:szCs w:val="18"/>
        </w:rPr>
        <w:t>时间：</w:t>
      </w:r>
      <w:r w:rsidRPr="00C10974">
        <w:rPr>
          <w:rFonts w:ascii="inherit" w:eastAsia="宋体" w:hAnsi="inherit" w:cs="宋体"/>
          <w:color w:val="888888"/>
          <w:kern w:val="0"/>
          <w:sz w:val="18"/>
          <w:szCs w:val="18"/>
        </w:rPr>
        <w:t xml:space="preserve">2015-05-11 </w:t>
      </w:r>
      <w:r w:rsidRPr="00C10974">
        <w:rPr>
          <w:rFonts w:ascii="inherit" w:eastAsia="宋体" w:hAnsi="inherit" w:cs="宋体"/>
          <w:color w:val="888888"/>
          <w:kern w:val="0"/>
          <w:sz w:val="18"/>
          <w:szCs w:val="18"/>
        </w:rPr>
        <w:t>来源：</w:t>
      </w:r>
      <w:r w:rsidRPr="00C10974">
        <w:rPr>
          <w:rFonts w:ascii="inherit" w:eastAsia="宋体" w:hAnsi="inherit" w:cs="宋体"/>
          <w:color w:val="888888"/>
          <w:kern w:val="0"/>
          <w:sz w:val="18"/>
          <w:szCs w:val="18"/>
        </w:rPr>
        <w:t xml:space="preserve"> </w:t>
      </w:r>
    </w:p>
    <w:p w:rsidR="00C10974" w:rsidRPr="00C10974" w:rsidRDefault="00C10974" w:rsidP="00C10974">
      <w:pPr>
        <w:widowControl/>
        <w:shd w:val="clear" w:color="auto" w:fill="FFFFFF"/>
        <w:spacing w:line="480" w:lineRule="auto"/>
        <w:jc w:val="left"/>
        <w:rPr>
          <w:rFonts w:ascii="inherit" w:eastAsia="宋体" w:hAnsi="inherit" w:cs="宋体"/>
          <w:color w:val="333333"/>
          <w:kern w:val="0"/>
          <w:szCs w:val="21"/>
        </w:rPr>
      </w:pPr>
      <w:r w:rsidRPr="00C10974">
        <w:rPr>
          <w:rFonts w:ascii="inherit" w:eastAsia="宋体" w:hAnsi="inherit" w:cs="宋体"/>
          <w:color w:val="333333"/>
          <w:kern w:val="0"/>
          <w:szCs w:val="21"/>
        </w:rPr>
        <w:t>（</w:t>
      </w:r>
      <w:r w:rsidRPr="00C10974">
        <w:rPr>
          <w:rFonts w:ascii="inherit" w:eastAsia="宋体" w:hAnsi="inherit" w:cs="宋体"/>
          <w:color w:val="333333"/>
          <w:kern w:val="0"/>
          <w:szCs w:val="21"/>
        </w:rPr>
        <w:t>2014</w:t>
      </w:r>
      <w:r w:rsidRPr="00C10974">
        <w:rPr>
          <w:rFonts w:ascii="inherit" w:eastAsia="宋体" w:hAnsi="inherit" w:cs="宋体"/>
          <w:color w:val="333333"/>
          <w:kern w:val="0"/>
          <w:szCs w:val="21"/>
        </w:rPr>
        <w:t>年</w:t>
      </w:r>
      <w:r w:rsidRPr="00C10974">
        <w:rPr>
          <w:rFonts w:ascii="inherit" w:eastAsia="宋体" w:hAnsi="inherit" w:cs="宋体"/>
          <w:color w:val="333333"/>
          <w:kern w:val="0"/>
          <w:szCs w:val="21"/>
        </w:rPr>
        <w:t>11</w:t>
      </w:r>
      <w:r w:rsidRPr="00C10974">
        <w:rPr>
          <w:rFonts w:ascii="inherit" w:eastAsia="宋体" w:hAnsi="inherit" w:cs="宋体"/>
          <w:color w:val="333333"/>
          <w:kern w:val="0"/>
          <w:szCs w:val="21"/>
        </w:rPr>
        <w:t>月</w:t>
      </w:r>
      <w:r w:rsidRPr="00C10974">
        <w:rPr>
          <w:rFonts w:ascii="inherit" w:eastAsia="宋体" w:hAnsi="inherit" w:cs="宋体"/>
          <w:color w:val="333333"/>
          <w:kern w:val="0"/>
          <w:szCs w:val="21"/>
        </w:rPr>
        <w:t>4</w:t>
      </w:r>
      <w:r w:rsidRPr="00C10974">
        <w:rPr>
          <w:rFonts w:ascii="inherit" w:eastAsia="宋体" w:hAnsi="inherit" w:cs="宋体"/>
          <w:color w:val="333333"/>
          <w:kern w:val="0"/>
          <w:szCs w:val="21"/>
        </w:rPr>
        <w:t>日银发〔</w:t>
      </w:r>
      <w:r w:rsidRPr="00C10974">
        <w:rPr>
          <w:rFonts w:ascii="inherit" w:eastAsia="宋体" w:hAnsi="inherit" w:cs="宋体"/>
          <w:color w:val="333333"/>
          <w:kern w:val="0"/>
          <w:szCs w:val="21"/>
        </w:rPr>
        <w:t>2014</w:t>
      </w:r>
      <w:r w:rsidRPr="00C10974">
        <w:rPr>
          <w:rFonts w:ascii="inherit" w:eastAsia="宋体" w:hAnsi="inherit" w:cs="宋体"/>
          <w:color w:val="333333"/>
          <w:kern w:val="0"/>
          <w:szCs w:val="21"/>
        </w:rPr>
        <w:t>〕</w:t>
      </w:r>
      <w:r w:rsidRPr="00C10974">
        <w:rPr>
          <w:rFonts w:ascii="inherit" w:eastAsia="宋体" w:hAnsi="inherit" w:cs="宋体"/>
          <w:color w:val="333333"/>
          <w:kern w:val="0"/>
          <w:szCs w:val="21"/>
        </w:rPr>
        <w:t>336</w:t>
      </w:r>
      <w:r w:rsidRPr="00C10974">
        <w:rPr>
          <w:rFonts w:ascii="inherit" w:eastAsia="宋体" w:hAnsi="inherit" w:cs="宋体"/>
          <w:color w:val="333333"/>
          <w:kern w:val="0"/>
          <w:szCs w:val="21"/>
        </w:rPr>
        <w:t>号）</w:t>
      </w:r>
    </w:p>
    <w:p w:rsidR="00C10974" w:rsidRPr="00C10974" w:rsidRDefault="00C10974" w:rsidP="00C10974">
      <w:pPr>
        <w:widowControl/>
        <w:shd w:val="clear" w:color="auto" w:fill="FFFFFF"/>
        <w:spacing w:line="480" w:lineRule="auto"/>
        <w:jc w:val="left"/>
        <w:rPr>
          <w:rFonts w:ascii="inherit" w:eastAsia="宋体" w:hAnsi="inherit" w:cs="宋体"/>
          <w:color w:val="333333"/>
          <w:kern w:val="0"/>
          <w:szCs w:val="21"/>
        </w:rPr>
      </w:pPr>
      <w:r w:rsidRPr="00C10974">
        <w:rPr>
          <w:rFonts w:ascii="inherit" w:eastAsia="宋体" w:hAnsi="inherit" w:cs="宋体"/>
          <w:color w:val="333333"/>
          <w:kern w:val="0"/>
          <w:szCs w:val="21"/>
        </w:rPr>
        <w:t>中国人民银行上海总部</w:t>
      </w:r>
      <w:r w:rsidRPr="00C10974">
        <w:rPr>
          <w:rFonts w:ascii="inherit" w:eastAsia="宋体" w:hAnsi="inherit" w:cs="宋体"/>
          <w:color w:val="333333"/>
          <w:kern w:val="0"/>
          <w:szCs w:val="21"/>
        </w:rPr>
        <w:t>,</w:t>
      </w:r>
      <w:r w:rsidRPr="00C10974">
        <w:rPr>
          <w:rFonts w:ascii="inherit" w:eastAsia="宋体" w:hAnsi="inherit" w:cs="宋体"/>
          <w:color w:val="333333"/>
          <w:kern w:val="0"/>
          <w:szCs w:val="21"/>
        </w:rPr>
        <w:t>各分行、营业管理部</w:t>
      </w:r>
      <w:r w:rsidRPr="00C10974">
        <w:rPr>
          <w:rFonts w:ascii="inherit" w:eastAsia="宋体" w:hAnsi="inherit" w:cs="宋体"/>
          <w:color w:val="333333"/>
          <w:kern w:val="0"/>
          <w:szCs w:val="21"/>
        </w:rPr>
        <w:t>,</w:t>
      </w:r>
      <w:r w:rsidRPr="00C10974">
        <w:rPr>
          <w:rFonts w:ascii="inherit" w:eastAsia="宋体" w:hAnsi="inherit" w:cs="宋体"/>
          <w:color w:val="333333"/>
          <w:kern w:val="0"/>
          <w:szCs w:val="21"/>
        </w:rPr>
        <w:t>各省会（首府）城市中心支行</w:t>
      </w:r>
      <w:r w:rsidRPr="00C10974">
        <w:rPr>
          <w:rFonts w:ascii="inherit" w:eastAsia="宋体" w:hAnsi="inherit" w:cs="宋体"/>
          <w:color w:val="333333"/>
          <w:kern w:val="0"/>
          <w:szCs w:val="21"/>
        </w:rPr>
        <w:t>,</w:t>
      </w:r>
      <w:r w:rsidRPr="00C10974">
        <w:rPr>
          <w:rFonts w:ascii="inherit" w:eastAsia="宋体" w:hAnsi="inherit" w:cs="宋体"/>
          <w:color w:val="333333"/>
          <w:kern w:val="0"/>
          <w:szCs w:val="21"/>
        </w:rPr>
        <w:t>各副省级城市中心支行；国家开发银行</w:t>
      </w:r>
      <w:r w:rsidRPr="00C10974">
        <w:rPr>
          <w:rFonts w:ascii="inherit" w:eastAsia="宋体" w:hAnsi="inherit" w:cs="宋体"/>
          <w:color w:val="333333"/>
          <w:kern w:val="0"/>
          <w:szCs w:val="21"/>
        </w:rPr>
        <w:t>,</w:t>
      </w:r>
      <w:r w:rsidRPr="00C10974">
        <w:rPr>
          <w:rFonts w:ascii="inherit" w:eastAsia="宋体" w:hAnsi="inherit" w:cs="宋体"/>
          <w:color w:val="333333"/>
          <w:kern w:val="0"/>
          <w:szCs w:val="21"/>
        </w:rPr>
        <w:t>各政策性银行、国有商业银行、股份制商业银行</w:t>
      </w:r>
      <w:r w:rsidRPr="00C10974">
        <w:rPr>
          <w:rFonts w:ascii="inherit" w:eastAsia="宋体" w:hAnsi="inherit" w:cs="宋体"/>
          <w:color w:val="333333"/>
          <w:kern w:val="0"/>
          <w:szCs w:val="21"/>
        </w:rPr>
        <w:t>,</w:t>
      </w:r>
      <w:r w:rsidRPr="00C10974">
        <w:rPr>
          <w:rFonts w:ascii="inherit" w:eastAsia="宋体" w:hAnsi="inherit" w:cs="宋体"/>
          <w:color w:val="333333"/>
          <w:kern w:val="0"/>
          <w:szCs w:val="21"/>
        </w:rPr>
        <w:t>中国邮政储蓄银行；中国证券登记结算有限责任公司</w:t>
      </w:r>
      <w:r w:rsidRPr="00C10974">
        <w:rPr>
          <w:rFonts w:ascii="inherit" w:eastAsia="宋体" w:hAnsi="inherit" w:cs="宋体"/>
          <w:color w:val="333333"/>
          <w:kern w:val="0"/>
          <w:szCs w:val="21"/>
        </w:rPr>
        <w:t>,</w:t>
      </w:r>
      <w:r w:rsidRPr="00C10974">
        <w:rPr>
          <w:rFonts w:ascii="inherit" w:eastAsia="宋体" w:hAnsi="inherit" w:cs="宋体"/>
          <w:color w:val="333333"/>
          <w:kern w:val="0"/>
          <w:szCs w:val="21"/>
        </w:rPr>
        <w:t>香港中央结算有限公司：</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t>为顺利实施沪港股票市场交易互联互通机制（以下简称沪港通）试点，规范相关资金流动，现就有关事项通知如下：</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t>一、香港中央结算有限公司（以下简称香港中央结算公司）可根据《境外机构人民币银行结算账户管理办法》（银发〔</w:t>
      </w:r>
      <w:r w:rsidRPr="00C10974">
        <w:rPr>
          <w:rFonts w:ascii="inherit" w:eastAsia="宋体" w:hAnsi="inherit" w:cs="宋体"/>
          <w:color w:val="333333"/>
          <w:kern w:val="0"/>
          <w:szCs w:val="21"/>
        </w:rPr>
        <w:t>2010</w:t>
      </w:r>
      <w:r w:rsidRPr="00C10974">
        <w:rPr>
          <w:rFonts w:ascii="inherit" w:eastAsia="宋体" w:hAnsi="inherit" w:cs="宋体"/>
          <w:color w:val="333333"/>
          <w:kern w:val="0"/>
          <w:szCs w:val="21"/>
        </w:rPr>
        <w:t>〕</w:t>
      </w:r>
      <w:r w:rsidRPr="00C10974">
        <w:rPr>
          <w:rFonts w:ascii="inherit" w:eastAsia="宋体" w:hAnsi="inherit" w:cs="宋体"/>
          <w:color w:val="333333"/>
          <w:kern w:val="0"/>
          <w:szCs w:val="21"/>
        </w:rPr>
        <w:t>249</w:t>
      </w:r>
      <w:r w:rsidRPr="00C10974">
        <w:rPr>
          <w:rFonts w:ascii="inherit" w:eastAsia="宋体" w:hAnsi="inherit" w:cs="宋体"/>
          <w:color w:val="333333"/>
          <w:kern w:val="0"/>
          <w:szCs w:val="21"/>
        </w:rPr>
        <w:t>号文印发）、《中国人民银行关于境外机构人民币银行结算账户开立和使用有关问题的通知》（银发〔</w:t>
      </w:r>
      <w:r w:rsidRPr="00C10974">
        <w:rPr>
          <w:rFonts w:ascii="inherit" w:eastAsia="宋体" w:hAnsi="inherit" w:cs="宋体"/>
          <w:color w:val="333333"/>
          <w:kern w:val="0"/>
          <w:szCs w:val="21"/>
        </w:rPr>
        <w:t>2012</w:t>
      </w:r>
      <w:r w:rsidRPr="00C10974">
        <w:rPr>
          <w:rFonts w:ascii="inherit" w:eastAsia="宋体" w:hAnsi="inherit" w:cs="宋体"/>
          <w:color w:val="333333"/>
          <w:kern w:val="0"/>
          <w:szCs w:val="21"/>
        </w:rPr>
        <w:t>〕</w:t>
      </w:r>
      <w:r w:rsidRPr="00C10974">
        <w:rPr>
          <w:rFonts w:ascii="inherit" w:eastAsia="宋体" w:hAnsi="inherit" w:cs="宋体"/>
          <w:color w:val="333333"/>
          <w:kern w:val="0"/>
          <w:szCs w:val="21"/>
        </w:rPr>
        <w:t>183</w:t>
      </w:r>
      <w:r w:rsidRPr="00C10974">
        <w:rPr>
          <w:rFonts w:ascii="inherit" w:eastAsia="宋体" w:hAnsi="inherit" w:cs="宋体"/>
          <w:color w:val="333333"/>
          <w:kern w:val="0"/>
          <w:szCs w:val="21"/>
        </w:rPr>
        <w:t>号）等银行结算账户管理规定，在境内银行开立人民币基本存款账户后，开立人民币沪股通专用存款账户，专门用于沪股通相关业务资金往来。</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t>二、香港中央结算公司开立人民币沪股通专用存款账户收支范围如下：</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t>（一）人民币沪股通专用存款账户的收入范围包括：</w:t>
      </w:r>
      <w:r w:rsidRPr="00C10974">
        <w:rPr>
          <w:rFonts w:ascii="inherit" w:eastAsia="宋体" w:hAnsi="inherit" w:cs="宋体"/>
          <w:color w:val="333333"/>
          <w:kern w:val="0"/>
          <w:szCs w:val="21"/>
        </w:rPr>
        <w:br/>
        <w:t>1.</w:t>
      </w:r>
      <w:r w:rsidRPr="00C10974">
        <w:rPr>
          <w:rFonts w:ascii="inherit" w:eastAsia="宋体" w:hAnsi="inherit" w:cs="宋体"/>
          <w:color w:val="333333"/>
          <w:kern w:val="0"/>
          <w:szCs w:val="21"/>
        </w:rPr>
        <w:t>汇入沪股通证券交易应付结算资金、应付风险管理资金、应付税款和应付费用；</w:t>
      </w:r>
      <w:r w:rsidRPr="00C10974">
        <w:rPr>
          <w:rFonts w:ascii="inherit" w:eastAsia="宋体" w:hAnsi="inherit" w:cs="宋体"/>
          <w:color w:val="333333"/>
          <w:kern w:val="0"/>
          <w:szCs w:val="21"/>
        </w:rPr>
        <w:br/>
        <w:t>2.</w:t>
      </w:r>
      <w:r w:rsidRPr="00C10974">
        <w:rPr>
          <w:rFonts w:ascii="inherit" w:eastAsia="宋体" w:hAnsi="inherit" w:cs="宋体"/>
          <w:color w:val="333333"/>
          <w:kern w:val="0"/>
          <w:szCs w:val="21"/>
        </w:rPr>
        <w:t>收取沪股通证券交易应收结算资金、现金股利等公司行为相关资金、账户孳生利息和退回的风险管理资金；</w:t>
      </w:r>
      <w:r w:rsidRPr="00C10974">
        <w:rPr>
          <w:rFonts w:ascii="inherit" w:eastAsia="宋体" w:hAnsi="inherit" w:cs="宋体"/>
          <w:color w:val="333333"/>
          <w:kern w:val="0"/>
          <w:szCs w:val="21"/>
        </w:rPr>
        <w:br/>
        <w:t>3.</w:t>
      </w:r>
      <w:r w:rsidRPr="00C10974">
        <w:rPr>
          <w:rFonts w:ascii="inherit" w:eastAsia="宋体" w:hAnsi="inherit" w:cs="宋体"/>
          <w:color w:val="333333"/>
          <w:kern w:val="0"/>
          <w:szCs w:val="21"/>
        </w:rPr>
        <w:t>因沪股通证券交易结算需要融入的资金，以及因偿还该融资所汇入的本息；</w:t>
      </w:r>
      <w:r w:rsidRPr="00C10974">
        <w:rPr>
          <w:rFonts w:ascii="inherit" w:eastAsia="宋体" w:hAnsi="inherit" w:cs="宋体"/>
          <w:color w:val="333333"/>
          <w:kern w:val="0"/>
          <w:szCs w:val="21"/>
        </w:rPr>
        <w:br/>
        <w:t>4.</w:t>
      </w:r>
      <w:r w:rsidRPr="00C10974">
        <w:rPr>
          <w:rFonts w:ascii="inherit" w:eastAsia="宋体" w:hAnsi="inherit" w:cs="宋体"/>
          <w:color w:val="333333"/>
          <w:kern w:val="0"/>
          <w:szCs w:val="21"/>
        </w:rPr>
        <w:t>中国人民银行规定的其他收入。</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t>（二）人民币沪股通专用存款账户的支出范围包括：</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lastRenderedPageBreak/>
        <w:t>1.</w:t>
      </w:r>
      <w:r w:rsidRPr="00C10974">
        <w:rPr>
          <w:rFonts w:ascii="inherit" w:eastAsia="宋体" w:hAnsi="inherit" w:cs="宋体"/>
          <w:color w:val="333333"/>
          <w:kern w:val="0"/>
          <w:szCs w:val="21"/>
        </w:rPr>
        <w:t>支付沪股通证券交易应付结算资金、应付风险管理资金、应付税款和应付费用；</w:t>
      </w:r>
      <w:r w:rsidRPr="00C10974">
        <w:rPr>
          <w:rFonts w:ascii="inherit" w:eastAsia="宋体" w:hAnsi="inherit" w:cs="宋体"/>
          <w:color w:val="333333"/>
          <w:kern w:val="0"/>
          <w:szCs w:val="21"/>
        </w:rPr>
        <w:br/>
        <w:t>2.</w:t>
      </w:r>
      <w:r w:rsidRPr="00C10974">
        <w:rPr>
          <w:rFonts w:ascii="inherit" w:eastAsia="宋体" w:hAnsi="inherit" w:cs="宋体"/>
          <w:color w:val="333333"/>
          <w:kern w:val="0"/>
          <w:szCs w:val="21"/>
        </w:rPr>
        <w:t>汇出沪股通证券交易应收结算资金、现金股利等公司行为相关资金、账户孳生利息和退回的风险管理资金；</w:t>
      </w:r>
      <w:r w:rsidRPr="00C10974">
        <w:rPr>
          <w:rFonts w:ascii="inherit" w:eastAsia="宋体" w:hAnsi="inherit" w:cs="宋体"/>
          <w:color w:val="333333"/>
          <w:kern w:val="0"/>
          <w:szCs w:val="21"/>
        </w:rPr>
        <w:br/>
        <w:t>3.</w:t>
      </w:r>
      <w:r w:rsidRPr="00C10974">
        <w:rPr>
          <w:rFonts w:ascii="inherit" w:eastAsia="宋体" w:hAnsi="inherit" w:cs="宋体"/>
          <w:color w:val="333333"/>
          <w:kern w:val="0"/>
          <w:szCs w:val="21"/>
        </w:rPr>
        <w:t>支付因沪股通证券交易结算所融入资金的本息；</w:t>
      </w:r>
      <w:r w:rsidRPr="00C10974">
        <w:rPr>
          <w:rFonts w:ascii="inherit" w:eastAsia="宋体" w:hAnsi="inherit" w:cs="宋体"/>
          <w:color w:val="333333"/>
          <w:kern w:val="0"/>
          <w:szCs w:val="21"/>
        </w:rPr>
        <w:br/>
        <w:t>4.</w:t>
      </w:r>
      <w:r w:rsidRPr="00C10974">
        <w:rPr>
          <w:rFonts w:ascii="inherit" w:eastAsia="宋体" w:hAnsi="inherit" w:cs="宋体"/>
          <w:color w:val="333333"/>
          <w:kern w:val="0"/>
          <w:szCs w:val="21"/>
        </w:rPr>
        <w:t>中国人民银行规定的其他支出。</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t>三、香港中央结算公司所开立人民币沪股通专用存款账户的利率，按照中国人民银行有关规定执行。</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t>四、香港中央结算公司因自然灾害等特殊原因，无法从香港汇入沪股通结算资金的，可以从境内开户银行融入人民币资金用于资金结算。</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t>香港中央结算公司融入资金的额度不得超过当日沪股通结算所需资金规模，融资期限一般不得超过</w:t>
      </w:r>
      <w:r w:rsidRPr="00C10974">
        <w:rPr>
          <w:rFonts w:ascii="inherit" w:eastAsia="宋体" w:hAnsi="inherit" w:cs="宋体"/>
          <w:color w:val="333333"/>
          <w:kern w:val="0"/>
          <w:szCs w:val="21"/>
        </w:rPr>
        <w:t>3</w:t>
      </w:r>
      <w:r w:rsidRPr="00C10974">
        <w:rPr>
          <w:rFonts w:ascii="inherit" w:eastAsia="宋体" w:hAnsi="inherit" w:cs="宋体"/>
          <w:color w:val="333333"/>
          <w:kern w:val="0"/>
          <w:szCs w:val="21"/>
        </w:rPr>
        <w:t>天。</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t>五、中国证券登记结算有限责任公司（以下简称中国证券登记结算公司）可按有关规定在香港的银行开立港股通银行结算账户，专门用于港股通相关业务资金往来。</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t>六、中国证券登记结算公司因自然灾害等特殊原因，无法从境内汇出港股通结算资金的，可以从香港开户银行融入人民币资金用于资金结算。</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t>中国证券登记结算公司融入资金的额度不得超过当日港股通结算所需资金规模，融资期限一般不得超过</w:t>
      </w:r>
      <w:r w:rsidRPr="00C10974">
        <w:rPr>
          <w:rFonts w:ascii="inherit" w:eastAsia="宋体" w:hAnsi="inherit" w:cs="宋体"/>
          <w:color w:val="333333"/>
          <w:kern w:val="0"/>
          <w:szCs w:val="21"/>
        </w:rPr>
        <w:t>3</w:t>
      </w:r>
      <w:r w:rsidRPr="00C10974">
        <w:rPr>
          <w:rFonts w:ascii="inherit" w:eastAsia="宋体" w:hAnsi="inherit" w:cs="宋体"/>
          <w:color w:val="333333"/>
          <w:kern w:val="0"/>
          <w:szCs w:val="21"/>
        </w:rPr>
        <w:t>天。</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t>七、中国证券登记结算公司或其分公司可在境内银行开立人民币港股通专用存款账户，专门用于港股通业务相关业务资金往来。</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t>（一）人民币港股通专用存款账户的收入范围包括：</w:t>
      </w:r>
      <w:r w:rsidRPr="00C10974">
        <w:rPr>
          <w:rFonts w:ascii="inherit" w:eastAsia="宋体" w:hAnsi="inherit" w:cs="宋体"/>
          <w:color w:val="333333"/>
          <w:kern w:val="0"/>
          <w:szCs w:val="21"/>
        </w:rPr>
        <w:br/>
        <w:t>1.</w:t>
      </w:r>
      <w:r w:rsidRPr="00C10974">
        <w:rPr>
          <w:rFonts w:ascii="inherit" w:eastAsia="宋体" w:hAnsi="inherit" w:cs="宋体"/>
          <w:color w:val="333333"/>
          <w:kern w:val="0"/>
          <w:szCs w:val="21"/>
        </w:rPr>
        <w:t>收取港股通证券交易应付结算资金、应付风险管理资金、应付税款和应付费用；</w:t>
      </w:r>
      <w:r w:rsidRPr="00C10974">
        <w:rPr>
          <w:rFonts w:ascii="inherit" w:eastAsia="宋体" w:hAnsi="inherit" w:cs="宋体"/>
          <w:color w:val="333333"/>
          <w:kern w:val="0"/>
          <w:szCs w:val="21"/>
        </w:rPr>
        <w:br/>
        <w:t>2.</w:t>
      </w:r>
      <w:r w:rsidRPr="00C10974">
        <w:rPr>
          <w:rFonts w:ascii="inherit" w:eastAsia="宋体" w:hAnsi="inherit" w:cs="宋体"/>
          <w:color w:val="333333"/>
          <w:kern w:val="0"/>
          <w:szCs w:val="21"/>
        </w:rPr>
        <w:t>汇入港股通证券交易应收结算资金、现金股利等公司行为相关资金、账户孳生利息和退回</w:t>
      </w:r>
      <w:r w:rsidRPr="00C10974">
        <w:rPr>
          <w:rFonts w:ascii="inherit" w:eastAsia="宋体" w:hAnsi="inherit" w:cs="宋体"/>
          <w:color w:val="333333"/>
          <w:kern w:val="0"/>
          <w:szCs w:val="21"/>
        </w:rPr>
        <w:lastRenderedPageBreak/>
        <w:t>的风险管理资金；</w:t>
      </w:r>
      <w:r w:rsidRPr="00C10974">
        <w:rPr>
          <w:rFonts w:ascii="inherit" w:eastAsia="宋体" w:hAnsi="inherit" w:cs="宋体"/>
          <w:color w:val="333333"/>
          <w:kern w:val="0"/>
          <w:szCs w:val="21"/>
        </w:rPr>
        <w:br/>
        <w:t>3.</w:t>
      </w:r>
      <w:r w:rsidRPr="00C10974">
        <w:rPr>
          <w:rFonts w:ascii="inherit" w:eastAsia="宋体" w:hAnsi="inherit" w:cs="宋体"/>
          <w:color w:val="333333"/>
          <w:kern w:val="0"/>
          <w:szCs w:val="21"/>
        </w:rPr>
        <w:t>中国人民银行规定的其他收入。</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t>（二）人民币港股通专用存款账户的支出范围包括：</w:t>
      </w:r>
      <w:r w:rsidRPr="00C10974">
        <w:rPr>
          <w:rFonts w:ascii="inherit" w:eastAsia="宋体" w:hAnsi="inherit" w:cs="宋体"/>
          <w:color w:val="333333"/>
          <w:kern w:val="0"/>
          <w:szCs w:val="21"/>
        </w:rPr>
        <w:br/>
        <w:t>1.</w:t>
      </w:r>
      <w:r w:rsidRPr="00C10974">
        <w:rPr>
          <w:rFonts w:ascii="inherit" w:eastAsia="宋体" w:hAnsi="inherit" w:cs="宋体"/>
          <w:color w:val="333333"/>
          <w:kern w:val="0"/>
          <w:szCs w:val="21"/>
        </w:rPr>
        <w:t>汇出港股通证券交易应付结算资金、应付风险管理资金、应付税款和应付费用；</w:t>
      </w:r>
      <w:r w:rsidRPr="00C10974">
        <w:rPr>
          <w:rFonts w:ascii="inherit" w:eastAsia="宋体" w:hAnsi="inherit" w:cs="宋体"/>
          <w:color w:val="333333"/>
          <w:kern w:val="0"/>
          <w:szCs w:val="21"/>
        </w:rPr>
        <w:br/>
        <w:t>2.</w:t>
      </w:r>
      <w:r w:rsidRPr="00C10974">
        <w:rPr>
          <w:rFonts w:ascii="inherit" w:eastAsia="宋体" w:hAnsi="inherit" w:cs="宋体"/>
          <w:color w:val="333333"/>
          <w:kern w:val="0"/>
          <w:szCs w:val="21"/>
        </w:rPr>
        <w:t>支付结算参与人港股通证券交易应收结算资金、现金股利等公司行为相关资金、账户孳生利息和退回的风险管理资金；</w:t>
      </w:r>
      <w:r w:rsidRPr="00C10974">
        <w:rPr>
          <w:rFonts w:ascii="inherit" w:eastAsia="宋体" w:hAnsi="inherit" w:cs="宋体"/>
          <w:color w:val="333333"/>
          <w:kern w:val="0"/>
          <w:szCs w:val="21"/>
        </w:rPr>
        <w:br/>
        <w:t>3.</w:t>
      </w:r>
      <w:r w:rsidRPr="00C10974">
        <w:rPr>
          <w:rFonts w:ascii="inherit" w:eastAsia="宋体" w:hAnsi="inherit" w:cs="宋体"/>
          <w:color w:val="333333"/>
          <w:kern w:val="0"/>
          <w:szCs w:val="21"/>
        </w:rPr>
        <w:t>中国人民银行规定的其他支出。</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t>八、中国证券登记结算公司和香港中央结算公司的境内开户银行应当分别向人民币跨境收付信息管理系统报送人民币港股通专用存款账户和人民币沪股通专用存款账户的开销户信息、资金收付信息，并在每月结束后的</w:t>
      </w:r>
      <w:r w:rsidRPr="00C10974">
        <w:rPr>
          <w:rFonts w:ascii="inherit" w:eastAsia="宋体" w:hAnsi="inherit" w:cs="宋体"/>
          <w:color w:val="333333"/>
          <w:kern w:val="0"/>
          <w:szCs w:val="21"/>
        </w:rPr>
        <w:t>8</w:t>
      </w:r>
      <w:r w:rsidRPr="00C10974">
        <w:rPr>
          <w:rFonts w:ascii="inherit" w:eastAsia="宋体" w:hAnsi="inherit" w:cs="宋体"/>
          <w:color w:val="333333"/>
          <w:kern w:val="0"/>
          <w:szCs w:val="21"/>
        </w:rPr>
        <w:t>个工作日内向中国人民银行报送上述信息的汇总报表。</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t>中国证券登记结算公司和香港中央结算公司应当在每月结束后的</w:t>
      </w:r>
      <w:r w:rsidRPr="00C10974">
        <w:rPr>
          <w:rFonts w:ascii="inherit" w:eastAsia="宋体" w:hAnsi="inherit" w:cs="宋体"/>
          <w:color w:val="333333"/>
          <w:kern w:val="0"/>
          <w:szCs w:val="21"/>
        </w:rPr>
        <w:t>8</w:t>
      </w:r>
      <w:r w:rsidRPr="00C10974">
        <w:rPr>
          <w:rFonts w:ascii="inherit" w:eastAsia="宋体" w:hAnsi="inherit" w:cs="宋体"/>
          <w:color w:val="333333"/>
          <w:kern w:val="0"/>
          <w:szCs w:val="21"/>
        </w:rPr>
        <w:t>个工作日内向中国人民银行、中国证监会报送沪港通相关资金信息，包括账户资金收付和账户融资信息等。</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t>九、中国证券登记结算公司开立、关闭港股通银行结算账户以及变更港股通银行结算账户开户银行的，应当在</w:t>
      </w:r>
      <w:r w:rsidRPr="00C10974">
        <w:rPr>
          <w:rFonts w:ascii="inherit" w:eastAsia="宋体" w:hAnsi="inherit" w:cs="宋体"/>
          <w:color w:val="333333"/>
          <w:kern w:val="0"/>
          <w:szCs w:val="21"/>
        </w:rPr>
        <w:t>30</w:t>
      </w:r>
      <w:r w:rsidRPr="00C10974">
        <w:rPr>
          <w:rFonts w:ascii="inherit" w:eastAsia="宋体" w:hAnsi="inherit" w:cs="宋体"/>
          <w:color w:val="333333"/>
          <w:kern w:val="0"/>
          <w:szCs w:val="21"/>
        </w:rPr>
        <w:t>日内将相关信息向中国人民银行、中国证监会备案。</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t>十、中国证券登记结算公司和香港中央结算公司应按照有关账户管理规定和本通知要求使用银行结算账户及办理资金划转，并会同开户银行做好流动性管理工作，有效防控资金结算风险。</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t>十一、中国证券登记结算公司和香港中央结算公司的境内开户银行应当依据《人民币银行结算账户管理办法》（中国人民银行令〔</w:t>
      </w:r>
      <w:r w:rsidRPr="00C10974">
        <w:rPr>
          <w:rFonts w:ascii="inherit" w:eastAsia="宋体" w:hAnsi="inherit" w:cs="宋体"/>
          <w:color w:val="333333"/>
          <w:kern w:val="0"/>
          <w:szCs w:val="21"/>
        </w:rPr>
        <w:t>2003</w:t>
      </w:r>
      <w:r w:rsidRPr="00C10974">
        <w:rPr>
          <w:rFonts w:ascii="inherit" w:eastAsia="宋体" w:hAnsi="inherit" w:cs="宋体"/>
          <w:color w:val="333333"/>
          <w:kern w:val="0"/>
          <w:szCs w:val="21"/>
        </w:rPr>
        <w:t>〕第</w:t>
      </w:r>
      <w:r w:rsidRPr="00C10974">
        <w:rPr>
          <w:rFonts w:ascii="inherit" w:eastAsia="宋体" w:hAnsi="inherit" w:cs="宋体"/>
          <w:color w:val="333333"/>
          <w:kern w:val="0"/>
          <w:szCs w:val="21"/>
        </w:rPr>
        <w:t>5</w:t>
      </w:r>
      <w:r w:rsidRPr="00C10974">
        <w:rPr>
          <w:rFonts w:ascii="inherit" w:eastAsia="宋体" w:hAnsi="inherit" w:cs="宋体"/>
          <w:color w:val="333333"/>
          <w:kern w:val="0"/>
          <w:szCs w:val="21"/>
        </w:rPr>
        <w:t>号发布）、《境外机构人民币银行结算账户管理办法》、《中国人民银行关于境外机构人民币银行结算账户开立和使用有关问题的通知》等银行结算账户管理制度及本通知，做好人民币港股通专用存款账户和人民币沪股通专用存款账户开立、使用、变更、撤销及管理等业务。</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lastRenderedPageBreak/>
        <w:t>十二、中国证券登记结算公司和香港中央结算公司的境内开户银行应当按照法律法规要求切实履行反洗钱、反恐怖融资、反逃税等义务，配合监管部门做好跨境资金监测管理工作。</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t>十三、中国人民银行、中国证监会及其分支机构对中国证券登记结算公司、香港中央结算公司和其境内开户银行的账户管理、资金汇出入和信息报送等进行监督管理。</w:t>
      </w:r>
      <w:r w:rsidRPr="00C10974">
        <w:rPr>
          <w:rFonts w:ascii="inherit" w:eastAsia="宋体" w:hAnsi="inherit" w:cs="宋体"/>
          <w:color w:val="333333"/>
          <w:kern w:val="0"/>
          <w:szCs w:val="21"/>
        </w:rPr>
        <w:br/>
      </w:r>
      <w:r w:rsidRPr="00C10974">
        <w:rPr>
          <w:rFonts w:ascii="inherit" w:eastAsia="宋体" w:hAnsi="inherit" w:cs="宋体"/>
          <w:color w:val="333333"/>
          <w:kern w:val="0"/>
          <w:szCs w:val="21"/>
        </w:rPr>
        <w:t>十四、本通知自印发之日起施行。</w:t>
      </w:r>
    </w:p>
    <w:p w:rsidR="00C10974" w:rsidRPr="00C10974" w:rsidRDefault="00C10974" w:rsidP="00C10974">
      <w:pPr>
        <w:widowControl/>
        <w:shd w:val="clear" w:color="auto" w:fill="FFFFFF"/>
        <w:spacing w:line="480" w:lineRule="auto"/>
        <w:jc w:val="left"/>
        <w:rPr>
          <w:rFonts w:ascii="inherit" w:eastAsia="宋体" w:hAnsi="inherit" w:cs="宋体"/>
          <w:color w:val="333333"/>
          <w:kern w:val="0"/>
          <w:szCs w:val="21"/>
        </w:rPr>
      </w:pPr>
      <w:r w:rsidRPr="00C10974">
        <w:rPr>
          <w:rFonts w:ascii="inherit" w:eastAsia="宋体" w:hAnsi="inherit" w:cs="宋体"/>
          <w:color w:val="333333"/>
          <w:kern w:val="0"/>
          <w:szCs w:val="21"/>
        </w:rPr>
        <w:br/>
      </w:r>
    </w:p>
    <w:p w:rsidR="00513D1A" w:rsidRDefault="00513D1A"/>
    <w:sectPr w:rsidR="00513D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D1A" w:rsidRDefault="00513D1A" w:rsidP="00C10974">
      <w:r>
        <w:separator/>
      </w:r>
    </w:p>
  </w:endnote>
  <w:endnote w:type="continuationSeparator" w:id="1">
    <w:p w:rsidR="00513D1A" w:rsidRDefault="00513D1A" w:rsidP="00C109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D1A" w:rsidRDefault="00513D1A" w:rsidP="00C10974">
      <w:r>
        <w:separator/>
      </w:r>
    </w:p>
  </w:footnote>
  <w:footnote w:type="continuationSeparator" w:id="1">
    <w:p w:rsidR="00513D1A" w:rsidRDefault="00513D1A" w:rsidP="00C109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0974"/>
    <w:rsid w:val="00513D1A"/>
    <w:rsid w:val="00C109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09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0974"/>
    <w:rPr>
      <w:sz w:val="18"/>
      <w:szCs w:val="18"/>
    </w:rPr>
  </w:style>
  <w:style w:type="paragraph" w:styleId="a4">
    <w:name w:val="footer"/>
    <w:basedOn w:val="a"/>
    <w:link w:val="Char0"/>
    <w:uiPriority w:val="99"/>
    <w:semiHidden/>
    <w:unhideWhenUsed/>
    <w:rsid w:val="00C109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0974"/>
    <w:rPr>
      <w:sz w:val="18"/>
      <w:szCs w:val="18"/>
    </w:rPr>
  </w:style>
</w:styles>
</file>

<file path=word/webSettings.xml><?xml version="1.0" encoding="utf-8"?>
<w:webSettings xmlns:r="http://schemas.openxmlformats.org/officeDocument/2006/relationships" xmlns:w="http://schemas.openxmlformats.org/wordprocessingml/2006/main">
  <w:divs>
    <w:div w:id="2023359727">
      <w:bodyDiv w:val="1"/>
      <w:marLeft w:val="0"/>
      <w:marRight w:val="0"/>
      <w:marTop w:val="0"/>
      <w:marBottom w:val="0"/>
      <w:divBdr>
        <w:top w:val="none" w:sz="0" w:space="0" w:color="auto"/>
        <w:left w:val="none" w:sz="0" w:space="0" w:color="auto"/>
        <w:bottom w:val="none" w:sz="0" w:space="0" w:color="auto"/>
        <w:right w:val="none" w:sz="0" w:space="0" w:color="auto"/>
      </w:divBdr>
      <w:divsChild>
        <w:div w:id="568806755">
          <w:marLeft w:val="0"/>
          <w:marRight w:val="0"/>
          <w:marTop w:val="0"/>
          <w:marBottom w:val="0"/>
          <w:divBdr>
            <w:top w:val="none" w:sz="0" w:space="0" w:color="auto"/>
            <w:left w:val="none" w:sz="0" w:space="0" w:color="auto"/>
            <w:bottom w:val="none" w:sz="0" w:space="0" w:color="auto"/>
            <w:right w:val="none" w:sz="0" w:space="0" w:color="auto"/>
          </w:divBdr>
          <w:divsChild>
            <w:div w:id="1313097831">
              <w:marLeft w:val="0"/>
              <w:marRight w:val="0"/>
              <w:marTop w:val="0"/>
              <w:marBottom w:val="0"/>
              <w:divBdr>
                <w:top w:val="none" w:sz="0" w:space="0" w:color="auto"/>
                <w:left w:val="none" w:sz="0" w:space="0" w:color="auto"/>
                <w:bottom w:val="none" w:sz="0" w:space="0" w:color="auto"/>
                <w:right w:val="none" w:sz="0" w:space="0" w:color="auto"/>
              </w:divBdr>
              <w:divsChild>
                <w:div w:id="600769825">
                  <w:marLeft w:val="105"/>
                  <w:marRight w:val="105"/>
                  <w:marTop w:val="0"/>
                  <w:marBottom w:val="0"/>
                  <w:divBdr>
                    <w:top w:val="none" w:sz="0" w:space="0" w:color="auto"/>
                    <w:left w:val="none" w:sz="0" w:space="0" w:color="auto"/>
                    <w:bottom w:val="none" w:sz="0" w:space="0" w:color="auto"/>
                    <w:right w:val="none" w:sz="0" w:space="0" w:color="auto"/>
                  </w:divBdr>
                  <w:divsChild>
                    <w:div w:id="259531259">
                      <w:marLeft w:val="0"/>
                      <w:marRight w:val="0"/>
                      <w:marTop w:val="0"/>
                      <w:marBottom w:val="0"/>
                      <w:divBdr>
                        <w:top w:val="none" w:sz="0" w:space="0" w:color="auto"/>
                        <w:left w:val="none" w:sz="0" w:space="0" w:color="auto"/>
                        <w:bottom w:val="none" w:sz="0" w:space="0" w:color="auto"/>
                        <w:right w:val="none" w:sz="0" w:space="0" w:color="auto"/>
                      </w:divBdr>
                      <w:divsChild>
                        <w:div w:id="1567110700">
                          <w:marLeft w:val="0"/>
                          <w:marRight w:val="0"/>
                          <w:marTop w:val="0"/>
                          <w:marBottom w:val="0"/>
                          <w:divBdr>
                            <w:top w:val="none" w:sz="0" w:space="0" w:color="auto"/>
                            <w:left w:val="none" w:sz="0" w:space="0" w:color="auto"/>
                            <w:bottom w:val="single" w:sz="12" w:space="11" w:color="CCCCCC"/>
                            <w:right w:val="none" w:sz="0" w:space="0" w:color="auto"/>
                          </w:divBdr>
                        </w:div>
                        <w:div w:id="11588836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马之遥/htsec</dc:creator>
  <cp:keywords/>
  <dc:description/>
  <cp:lastModifiedBy>马之遥/htsec</cp:lastModifiedBy>
  <cp:revision>2</cp:revision>
  <dcterms:created xsi:type="dcterms:W3CDTF">2016-10-29T11:11:00Z</dcterms:created>
  <dcterms:modified xsi:type="dcterms:W3CDTF">2016-10-29T11:11:00Z</dcterms:modified>
</cp:coreProperties>
</file>