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CB" w:rsidRPr="00BE22CB" w:rsidRDefault="00BE22CB" w:rsidP="00BE22CB">
      <w:pPr>
        <w:widowControl/>
        <w:shd w:val="clear" w:color="auto" w:fill="FFFFFF"/>
        <w:spacing w:before="75" w:after="240" w:line="330" w:lineRule="atLeast"/>
        <w:jc w:val="center"/>
        <w:rPr>
          <w:rFonts w:ascii="宋体" w:eastAsia="宋体" w:hAnsi="宋体" w:cs="宋体"/>
          <w:color w:val="000000"/>
          <w:kern w:val="0"/>
          <w:sz w:val="24"/>
          <w:szCs w:val="24"/>
        </w:rPr>
      </w:pPr>
      <w:r w:rsidRPr="00BE22CB">
        <w:rPr>
          <w:rFonts w:ascii="宋体" w:eastAsia="宋体" w:hAnsi="宋体" w:cs="宋体" w:hint="eastAsia"/>
          <w:b/>
          <w:bCs/>
          <w:color w:val="5E6061"/>
          <w:kern w:val="0"/>
          <w:sz w:val="29"/>
          <w:szCs w:val="29"/>
        </w:rPr>
        <w:t>港股通交易风险概述</w:t>
      </w:r>
    </w:p>
    <w:p w:rsidR="00BE22CB" w:rsidRPr="00BE22CB" w:rsidRDefault="00BE22CB" w:rsidP="00BE22CB">
      <w:pPr>
        <w:widowControl/>
        <w:shd w:val="clear" w:color="auto" w:fill="FFFFFF"/>
        <w:spacing w:before="75" w:after="75" w:line="330" w:lineRule="atLeast"/>
        <w:jc w:val="left"/>
        <w:rPr>
          <w:rFonts w:ascii="宋体" w:eastAsia="宋体" w:hAnsi="宋体" w:cs="宋体" w:hint="eastAsia"/>
          <w:color w:val="000000"/>
          <w:kern w:val="0"/>
          <w:sz w:val="24"/>
          <w:szCs w:val="24"/>
        </w:rPr>
      </w:pPr>
      <w:r w:rsidRPr="00BE22CB">
        <w:rPr>
          <w:rFonts w:ascii="宋体" w:eastAsia="宋体" w:hAnsi="宋体" w:cs="宋体" w:hint="eastAsia"/>
          <w:color w:val="5E6061"/>
          <w:kern w:val="0"/>
          <w:sz w:val="18"/>
          <w:szCs w:val="18"/>
        </w:rPr>
        <w:t xml:space="preserve">　　作为我国资本市场对外开放的重要内容，沪港通股票市场交易互联互通机制试点（以下简称沪港通）扩大了两地投资者的投资渠道。内地投资者可以在更大范围内为其资产找寻到投资标的。</w:t>
      </w:r>
    </w:p>
    <w:p w:rsidR="00BE22CB" w:rsidRPr="00BE22CB" w:rsidRDefault="00BE22CB" w:rsidP="00BE22CB">
      <w:pPr>
        <w:widowControl/>
        <w:shd w:val="clear" w:color="auto" w:fill="FFFFFF"/>
        <w:spacing w:before="75" w:after="75" w:line="330" w:lineRule="atLeast"/>
        <w:jc w:val="left"/>
        <w:rPr>
          <w:rFonts w:ascii="宋体" w:eastAsia="宋体" w:hAnsi="宋体" w:cs="宋体" w:hint="eastAsia"/>
          <w:color w:val="000000"/>
          <w:kern w:val="0"/>
          <w:sz w:val="24"/>
          <w:szCs w:val="24"/>
        </w:rPr>
      </w:pPr>
      <w:r w:rsidRPr="00BE22CB">
        <w:rPr>
          <w:rFonts w:ascii="宋体" w:eastAsia="宋体" w:hAnsi="宋体" w:cs="宋体" w:hint="eastAsia"/>
          <w:color w:val="5E6061"/>
          <w:kern w:val="0"/>
          <w:sz w:val="18"/>
          <w:szCs w:val="18"/>
        </w:rPr>
        <w:t>    尽管相比较其他境外市场，部分香港上市公司为内地投资者熟悉，而且香港与内地文化同宗同脉，但由于香港联交所的股票交易规则与内地A股交易规则存在一定差异，投资者除面临与内地A股市场投资同样的风险，还可能面临其他特殊风险。</w:t>
      </w:r>
    </w:p>
    <w:p w:rsidR="00BE22CB" w:rsidRPr="00BE22CB" w:rsidRDefault="00BE22CB" w:rsidP="00BE22CB">
      <w:pPr>
        <w:widowControl/>
        <w:shd w:val="clear" w:color="auto" w:fill="FFFFFF"/>
        <w:spacing w:before="75" w:after="75" w:line="330" w:lineRule="atLeast"/>
        <w:jc w:val="left"/>
        <w:rPr>
          <w:rFonts w:ascii="宋体" w:eastAsia="宋体" w:hAnsi="宋体" w:cs="宋体" w:hint="eastAsia"/>
          <w:color w:val="000000"/>
          <w:kern w:val="0"/>
          <w:sz w:val="24"/>
          <w:szCs w:val="24"/>
        </w:rPr>
      </w:pPr>
      <w:r w:rsidRPr="00BE22CB">
        <w:rPr>
          <w:rFonts w:ascii="宋体" w:eastAsia="宋体" w:hAnsi="宋体" w:cs="宋体" w:hint="eastAsia"/>
          <w:color w:val="5E6061"/>
          <w:kern w:val="0"/>
          <w:sz w:val="18"/>
          <w:szCs w:val="18"/>
        </w:rPr>
        <w:t>    因此，我们提示投资者在参与沪港通投资前，掌握香港市场的证券基础知识、法律法规，了解交易所业务规则，充分知晓港股通投资风险，理性参与投资。</w:t>
      </w:r>
    </w:p>
    <w:p w:rsidR="00BE22CB" w:rsidRPr="00BE22CB" w:rsidRDefault="00BE22CB" w:rsidP="00BE22CB">
      <w:pPr>
        <w:widowControl/>
        <w:shd w:val="clear" w:color="auto" w:fill="FFFFFF"/>
        <w:spacing w:before="75" w:after="75" w:line="330" w:lineRule="atLeast"/>
        <w:jc w:val="left"/>
        <w:rPr>
          <w:rFonts w:ascii="宋体" w:eastAsia="宋体" w:hAnsi="宋体" w:cs="宋体" w:hint="eastAsia"/>
          <w:color w:val="000000"/>
          <w:kern w:val="0"/>
          <w:sz w:val="24"/>
          <w:szCs w:val="24"/>
        </w:rPr>
      </w:pPr>
      <w:r w:rsidRPr="00BE22CB">
        <w:rPr>
          <w:rFonts w:ascii="宋体" w:eastAsia="宋体" w:hAnsi="宋体" w:cs="宋体" w:hint="eastAsia"/>
          <w:color w:val="5E6061"/>
          <w:kern w:val="0"/>
          <w:sz w:val="18"/>
          <w:szCs w:val="18"/>
        </w:rPr>
        <w:t xml:space="preserve">　 在这里，我们就给您简要介绍由于沪港市场差异而可能产生的投资风险。具体来说，因沪港股票市场在投资环境、投资者结构以及交易标的等方面都存在一定差异，内地投资者参与港股通交易可能面临诸如下列风险：</w:t>
      </w:r>
    </w:p>
    <w:p w:rsidR="00BE22CB" w:rsidRPr="00BE22CB" w:rsidRDefault="00BE22CB" w:rsidP="00BE22CB">
      <w:pPr>
        <w:widowControl/>
        <w:shd w:val="clear" w:color="auto" w:fill="FFFFFF"/>
        <w:spacing w:before="75" w:after="75" w:line="330" w:lineRule="atLeast"/>
        <w:jc w:val="left"/>
        <w:rPr>
          <w:rFonts w:ascii="宋体" w:eastAsia="宋体" w:hAnsi="宋体" w:cs="宋体" w:hint="eastAsia"/>
          <w:color w:val="000000"/>
          <w:kern w:val="0"/>
          <w:sz w:val="24"/>
          <w:szCs w:val="24"/>
        </w:rPr>
      </w:pPr>
      <w:r w:rsidRPr="00BE22CB">
        <w:rPr>
          <w:rFonts w:ascii="宋体" w:eastAsia="宋体" w:hAnsi="宋体" w:cs="宋体" w:hint="eastAsia"/>
          <w:color w:val="5E6061"/>
          <w:kern w:val="0"/>
          <w:sz w:val="18"/>
          <w:szCs w:val="18"/>
        </w:rPr>
        <w:t xml:space="preserve">　　</w:t>
      </w:r>
      <w:r w:rsidRPr="00BE22CB">
        <w:rPr>
          <w:rFonts w:ascii="宋体" w:eastAsia="宋体" w:hAnsi="宋体" w:cs="Times New Roman" w:hint="eastAsia"/>
          <w:b/>
          <w:bCs/>
          <w:color w:val="5E6061"/>
          <w:kern w:val="0"/>
          <w:sz w:val="18"/>
          <w:szCs w:val="18"/>
        </w:rPr>
        <w:t>首先是市场联动的风险。</w:t>
      </w:r>
    </w:p>
    <w:p w:rsidR="00BE22CB" w:rsidRPr="00BE22CB" w:rsidRDefault="00BE22CB" w:rsidP="00BE22CB">
      <w:pPr>
        <w:widowControl/>
        <w:shd w:val="clear" w:color="auto" w:fill="FFFFFF"/>
        <w:spacing w:before="75" w:after="75" w:line="330" w:lineRule="atLeast"/>
        <w:jc w:val="left"/>
        <w:rPr>
          <w:rFonts w:ascii="宋体" w:eastAsia="宋体" w:hAnsi="宋体" w:cs="宋体" w:hint="eastAsia"/>
          <w:color w:val="000000"/>
          <w:kern w:val="0"/>
          <w:sz w:val="24"/>
          <w:szCs w:val="24"/>
        </w:rPr>
      </w:pPr>
      <w:r w:rsidRPr="00BE22CB">
        <w:rPr>
          <w:rFonts w:ascii="宋体" w:eastAsia="宋体" w:hAnsi="宋体" w:cs="宋体" w:hint="eastAsia"/>
          <w:color w:val="5E6061"/>
          <w:kern w:val="0"/>
          <w:sz w:val="18"/>
          <w:szCs w:val="18"/>
        </w:rPr>
        <w:t xml:space="preserve">　 与内地A股市场相比，由于在港股市场上外汇资金自由流动，海外资金的流动与港股价格之间表现出具有高度相关性,因此，投资者在参与港股市场交易时受到全球宏观经济和货币政策变动导致的系统风险相对更大。</w:t>
      </w:r>
    </w:p>
    <w:p w:rsidR="00BE22CB" w:rsidRPr="00BE22CB" w:rsidRDefault="00BE22CB" w:rsidP="00BE22CB">
      <w:pPr>
        <w:widowControl/>
        <w:shd w:val="clear" w:color="auto" w:fill="FFFFFF"/>
        <w:spacing w:before="75" w:after="75" w:line="330" w:lineRule="atLeast"/>
        <w:jc w:val="left"/>
        <w:rPr>
          <w:rFonts w:ascii="宋体" w:eastAsia="宋体" w:hAnsi="宋体" w:cs="宋体" w:hint="eastAsia"/>
          <w:color w:val="000000"/>
          <w:kern w:val="0"/>
          <w:sz w:val="24"/>
          <w:szCs w:val="24"/>
        </w:rPr>
      </w:pPr>
      <w:r w:rsidRPr="00BE22CB">
        <w:rPr>
          <w:rFonts w:ascii="宋体" w:eastAsia="宋体" w:hAnsi="宋体" w:cs="宋体" w:hint="eastAsia"/>
          <w:color w:val="5E6061"/>
          <w:kern w:val="0"/>
          <w:sz w:val="18"/>
          <w:szCs w:val="18"/>
        </w:rPr>
        <w:t xml:space="preserve">　　</w:t>
      </w:r>
      <w:r w:rsidRPr="00BE22CB">
        <w:rPr>
          <w:rFonts w:ascii="宋体" w:eastAsia="宋体" w:hAnsi="宋体" w:cs="Times New Roman" w:hint="eastAsia"/>
          <w:b/>
          <w:bCs/>
          <w:color w:val="5E6061"/>
          <w:kern w:val="0"/>
          <w:sz w:val="18"/>
          <w:szCs w:val="18"/>
        </w:rPr>
        <w:t>其次是股价波动的风险。</w:t>
      </w:r>
    </w:p>
    <w:p w:rsidR="00BE22CB" w:rsidRPr="00BE22CB" w:rsidRDefault="00BE22CB" w:rsidP="00BE22CB">
      <w:pPr>
        <w:widowControl/>
        <w:shd w:val="clear" w:color="auto" w:fill="FFFFFF"/>
        <w:spacing w:before="75" w:after="75" w:line="330" w:lineRule="atLeast"/>
        <w:jc w:val="left"/>
        <w:rPr>
          <w:rFonts w:ascii="宋体" w:eastAsia="宋体" w:hAnsi="宋体" w:cs="宋体" w:hint="eastAsia"/>
          <w:color w:val="000000"/>
          <w:kern w:val="0"/>
          <w:sz w:val="24"/>
          <w:szCs w:val="24"/>
        </w:rPr>
      </w:pPr>
      <w:r w:rsidRPr="00BE22CB">
        <w:rPr>
          <w:rFonts w:ascii="宋体" w:eastAsia="宋体" w:hAnsi="宋体" w:cs="宋体" w:hint="eastAsia"/>
          <w:color w:val="5E6061"/>
          <w:kern w:val="0"/>
          <w:sz w:val="18"/>
          <w:szCs w:val="18"/>
        </w:rPr>
        <w:t xml:space="preserve">　　 由于港股市场实行T+0交易机制，而且不设涨跌幅限制，加之香港市场结构性产品和衍生品种类相对丰富，因此，港股通个股的股价受到意外事件驱动的影响而表现出股价波动的幅度相对A股更为剧烈，投资者持仓的风险相对较大。</w:t>
      </w:r>
    </w:p>
    <w:p w:rsidR="00BE22CB" w:rsidRPr="00BE22CB" w:rsidRDefault="00BE22CB" w:rsidP="00BE22CB">
      <w:pPr>
        <w:widowControl/>
        <w:shd w:val="clear" w:color="auto" w:fill="FFFFFF"/>
        <w:spacing w:before="75" w:after="75" w:line="330" w:lineRule="atLeast"/>
        <w:jc w:val="left"/>
        <w:rPr>
          <w:rFonts w:ascii="宋体" w:eastAsia="宋体" w:hAnsi="宋体" w:cs="宋体" w:hint="eastAsia"/>
          <w:color w:val="000000"/>
          <w:kern w:val="0"/>
          <w:sz w:val="24"/>
          <w:szCs w:val="24"/>
        </w:rPr>
      </w:pPr>
      <w:r w:rsidRPr="00BE22CB">
        <w:rPr>
          <w:rFonts w:ascii="宋体" w:eastAsia="宋体" w:hAnsi="宋体" w:cs="宋体" w:hint="eastAsia"/>
          <w:color w:val="5E6061"/>
          <w:kern w:val="0"/>
          <w:sz w:val="18"/>
          <w:szCs w:val="18"/>
        </w:rPr>
        <w:t xml:space="preserve">　　</w:t>
      </w:r>
      <w:r w:rsidRPr="00BE22CB">
        <w:rPr>
          <w:rFonts w:ascii="宋体" w:eastAsia="宋体" w:hAnsi="宋体" w:cs="Times New Roman" w:hint="eastAsia"/>
          <w:b/>
          <w:bCs/>
          <w:color w:val="5E6061"/>
          <w:kern w:val="0"/>
          <w:sz w:val="18"/>
          <w:szCs w:val="18"/>
        </w:rPr>
        <w:t>再次是交易成本的风险。</w:t>
      </w:r>
    </w:p>
    <w:p w:rsidR="00BE22CB" w:rsidRPr="00BE22CB" w:rsidRDefault="00BE22CB" w:rsidP="00BE22CB">
      <w:pPr>
        <w:widowControl/>
        <w:shd w:val="clear" w:color="auto" w:fill="FFFFFF"/>
        <w:spacing w:before="75" w:after="75" w:line="330" w:lineRule="atLeast"/>
        <w:ind w:firstLine="270"/>
        <w:jc w:val="left"/>
        <w:rPr>
          <w:rFonts w:ascii="宋体" w:eastAsia="宋体" w:hAnsi="宋体" w:cs="宋体" w:hint="eastAsia"/>
          <w:color w:val="000000"/>
          <w:kern w:val="0"/>
          <w:sz w:val="24"/>
          <w:szCs w:val="24"/>
        </w:rPr>
      </w:pPr>
      <w:r w:rsidRPr="00BE22CB">
        <w:rPr>
          <w:rFonts w:ascii="宋体" w:eastAsia="宋体" w:hAnsi="宋体" w:cs="宋体" w:hint="eastAsia"/>
          <w:color w:val="5E6061"/>
          <w:kern w:val="0"/>
          <w:sz w:val="18"/>
          <w:szCs w:val="18"/>
        </w:rPr>
        <w:t>目前，投资者参与港股投资，除因股票交易而发生的佣金、交易征费、交易费、交易系统费、印花税、过户费等税费，投资者在不进行交易时也可能要继续缴纳证券组合费等项费用。因此，投资者在参与港股交易前应当充分了解可能需要缴纳的</w:t>
      </w:r>
    </w:p>
    <w:p w:rsidR="00BE22CB" w:rsidRPr="00BE22CB" w:rsidRDefault="00BE22CB" w:rsidP="00BE22CB">
      <w:pPr>
        <w:widowControl/>
        <w:shd w:val="clear" w:color="auto" w:fill="FFFFFF"/>
        <w:spacing w:before="75" w:after="75" w:line="330" w:lineRule="atLeast"/>
        <w:ind w:firstLine="270"/>
        <w:jc w:val="left"/>
        <w:rPr>
          <w:rFonts w:ascii="宋体" w:eastAsia="宋体" w:hAnsi="宋体" w:cs="宋体" w:hint="eastAsia"/>
          <w:color w:val="000000"/>
          <w:kern w:val="0"/>
          <w:sz w:val="24"/>
          <w:szCs w:val="24"/>
        </w:rPr>
      </w:pPr>
      <w:r w:rsidRPr="00BE22CB">
        <w:rPr>
          <w:rFonts w:ascii="宋体" w:eastAsia="宋体" w:hAnsi="宋体" w:cs="宋体" w:hint="eastAsia"/>
          <w:color w:val="5E6061"/>
          <w:kern w:val="0"/>
          <w:sz w:val="18"/>
          <w:szCs w:val="18"/>
        </w:rPr>
        <w:t>与各项相关税费安排，避免因交易频率提高导致交易成本上升。</w:t>
      </w:r>
    </w:p>
    <w:p w:rsidR="00BE22CB" w:rsidRPr="00BE22CB" w:rsidRDefault="00BE22CB" w:rsidP="00BE22CB">
      <w:pPr>
        <w:widowControl/>
        <w:shd w:val="clear" w:color="auto" w:fill="FFFFFF"/>
        <w:spacing w:before="75" w:after="75" w:line="330" w:lineRule="atLeast"/>
        <w:ind w:firstLine="270"/>
        <w:jc w:val="left"/>
        <w:rPr>
          <w:rFonts w:ascii="宋体" w:eastAsia="宋体" w:hAnsi="宋体" w:cs="宋体" w:hint="eastAsia"/>
          <w:color w:val="000000"/>
          <w:kern w:val="0"/>
          <w:sz w:val="24"/>
          <w:szCs w:val="24"/>
        </w:rPr>
      </w:pPr>
      <w:r w:rsidRPr="00BE22CB">
        <w:rPr>
          <w:rFonts w:ascii="宋体" w:eastAsia="宋体" w:hAnsi="宋体" w:cs="宋体" w:hint="eastAsia"/>
          <w:color w:val="5E6061"/>
          <w:kern w:val="0"/>
          <w:sz w:val="18"/>
          <w:szCs w:val="18"/>
        </w:rPr>
        <w:t>此外，还有</w:t>
      </w:r>
      <w:r w:rsidRPr="00BE22CB">
        <w:rPr>
          <w:rFonts w:ascii="Times New Roman" w:eastAsia="宋体" w:hAnsi="Times New Roman" w:cs="Times New Roman"/>
          <w:b/>
          <w:bCs/>
          <w:color w:val="5E6061"/>
          <w:kern w:val="0"/>
          <w:sz w:val="18"/>
          <w:szCs w:val="18"/>
        </w:rPr>
        <w:t> </w:t>
      </w:r>
      <w:r w:rsidRPr="00BE22CB">
        <w:rPr>
          <w:rFonts w:ascii="宋体" w:eastAsia="宋体" w:hAnsi="宋体" w:cs="Times New Roman" w:hint="eastAsia"/>
          <w:b/>
          <w:bCs/>
          <w:color w:val="5E6061"/>
          <w:kern w:val="0"/>
          <w:sz w:val="18"/>
          <w:szCs w:val="18"/>
        </w:rPr>
        <w:t>个股的流动性风险</w:t>
      </w:r>
      <w:r w:rsidRPr="00BE22CB">
        <w:rPr>
          <w:rFonts w:ascii="宋体" w:eastAsia="宋体" w:hAnsi="宋体" w:cs="宋体" w:hint="eastAsia"/>
          <w:color w:val="5E6061"/>
          <w:kern w:val="0"/>
          <w:sz w:val="18"/>
          <w:szCs w:val="18"/>
        </w:rPr>
        <w:t>。不同于在内地市场中小市值股票的成交较为活跃，在香港市场，部分中小市值港股成交量则相对较少，流动较为缺乏。因此，如果投资者重仓持有此类股票，则可能因缺乏交易对手方交易，进而面临小量抛盘即</w:t>
      </w:r>
    </w:p>
    <w:p w:rsidR="00BE22CB" w:rsidRPr="00BE22CB" w:rsidRDefault="00BE22CB" w:rsidP="00BE22CB">
      <w:pPr>
        <w:widowControl/>
        <w:shd w:val="clear" w:color="auto" w:fill="FFFFFF"/>
        <w:spacing w:before="75" w:after="75" w:line="330" w:lineRule="atLeast"/>
        <w:ind w:firstLine="270"/>
        <w:jc w:val="left"/>
        <w:rPr>
          <w:rFonts w:ascii="宋体" w:eastAsia="宋体" w:hAnsi="宋体" w:cs="宋体" w:hint="eastAsia"/>
          <w:color w:val="000000"/>
          <w:kern w:val="0"/>
          <w:sz w:val="24"/>
          <w:szCs w:val="24"/>
        </w:rPr>
      </w:pPr>
      <w:r w:rsidRPr="00BE22CB">
        <w:rPr>
          <w:rFonts w:ascii="宋体" w:eastAsia="宋体" w:hAnsi="宋体" w:cs="Times New Roman" w:hint="eastAsia"/>
          <w:b/>
          <w:bCs/>
          <w:color w:val="5E6061"/>
          <w:kern w:val="0"/>
          <w:sz w:val="18"/>
          <w:szCs w:val="18"/>
        </w:rPr>
        <w:t>导致股价大幅下降的风险。</w:t>
      </w:r>
    </w:p>
    <w:p w:rsidR="00087A6D" w:rsidRPr="00BE22CB" w:rsidRDefault="00087A6D" w:rsidP="00BE22CB">
      <w:bookmarkStart w:id="0" w:name="_GoBack"/>
      <w:bookmarkEnd w:id="0"/>
    </w:p>
    <w:sectPr w:rsidR="00087A6D" w:rsidRPr="00BE22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B1"/>
    <w:rsid w:val="00087A6D"/>
    <w:rsid w:val="00330D7B"/>
    <w:rsid w:val="004566B1"/>
    <w:rsid w:val="00BE2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D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0D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D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0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4134">
      <w:bodyDiv w:val="1"/>
      <w:marLeft w:val="0"/>
      <w:marRight w:val="0"/>
      <w:marTop w:val="0"/>
      <w:marBottom w:val="0"/>
      <w:divBdr>
        <w:top w:val="none" w:sz="0" w:space="0" w:color="auto"/>
        <w:left w:val="none" w:sz="0" w:space="0" w:color="auto"/>
        <w:bottom w:val="none" w:sz="0" w:space="0" w:color="auto"/>
        <w:right w:val="none" w:sz="0" w:space="0" w:color="auto"/>
      </w:divBdr>
    </w:div>
    <w:div w:id="13474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顾程祥/htsec</dc:creator>
  <cp:keywords/>
  <dc:description/>
  <cp:lastModifiedBy>顾程祥/htsec</cp:lastModifiedBy>
  <cp:revision>3</cp:revision>
  <dcterms:created xsi:type="dcterms:W3CDTF">2016-11-01T08:09:00Z</dcterms:created>
  <dcterms:modified xsi:type="dcterms:W3CDTF">2016-11-01T08:11:00Z</dcterms:modified>
</cp:coreProperties>
</file>