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EEF" w:rsidRPr="00567EEF" w:rsidRDefault="00567EEF" w:rsidP="00567EEF">
      <w:pPr>
        <w:widowControl/>
        <w:jc w:val="center"/>
        <w:rPr>
          <w:rFonts w:ascii="Arial" w:eastAsia="宋体" w:hAnsi="Arial" w:cs="Arial"/>
          <w:b/>
          <w:bCs/>
          <w:color w:val="4E4E4E"/>
          <w:kern w:val="0"/>
          <w:sz w:val="24"/>
          <w:szCs w:val="24"/>
        </w:rPr>
      </w:pPr>
      <w:r w:rsidRPr="00567EEF">
        <w:rPr>
          <w:rFonts w:ascii="Arial" w:eastAsia="宋体" w:hAnsi="Arial" w:cs="Arial"/>
          <w:b/>
          <w:bCs/>
          <w:color w:val="4E4E4E"/>
          <w:kern w:val="0"/>
          <w:sz w:val="24"/>
          <w:szCs w:val="24"/>
        </w:rPr>
        <w:t>投资者参与港股通交易基础知识</w:t>
      </w:r>
      <w:r w:rsidRPr="00567EEF">
        <w:rPr>
          <w:rFonts w:ascii="Arial" w:eastAsia="宋体" w:hAnsi="Arial" w:cs="Arial"/>
          <w:b/>
          <w:bCs/>
          <w:color w:val="4E4E4E"/>
          <w:kern w:val="0"/>
          <w:sz w:val="24"/>
          <w:szCs w:val="24"/>
        </w:rPr>
        <w:t xml:space="preserve"> </w:t>
      </w:r>
    </w:p>
    <w:p w:rsidR="00567EEF" w:rsidRPr="00567EEF" w:rsidRDefault="00567EEF" w:rsidP="00567EEF">
      <w:pPr>
        <w:widowControl/>
        <w:spacing w:line="360" w:lineRule="atLeast"/>
        <w:ind w:firstLineChars="200" w:firstLine="480"/>
        <w:jc w:val="center"/>
        <w:rPr>
          <w:rFonts w:ascii="宋体" w:eastAsia="宋体" w:hAnsi="宋体" w:cs="宋体"/>
          <w:color w:val="2E2E2E"/>
          <w:kern w:val="0"/>
          <w:sz w:val="24"/>
          <w:szCs w:val="24"/>
        </w:rPr>
      </w:pPr>
      <w:r w:rsidRPr="00567EEF">
        <w:rPr>
          <w:rFonts w:ascii="宋体" w:eastAsia="宋体" w:hAnsi="宋体" w:cs="宋体"/>
          <w:color w:val="2E2E2E"/>
          <w:kern w:val="0"/>
          <w:sz w:val="24"/>
          <w:szCs w:val="24"/>
        </w:rPr>
        <w:t> </w:t>
      </w:r>
    </w:p>
    <w:p w:rsidR="00567EEF" w:rsidRPr="00567EEF" w:rsidRDefault="00567EEF" w:rsidP="00567EEF">
      <w:pPr>
        <w:widowControl/>
        <w:spacing w:line="360" w:lineRule="atLeast"/>
        <w:ind w:firstLineChars="200" w:firstLine="360"/>
        <w:jc w:val="center"/>
        <w:rPr>
          <w:rFonts w:ascii="宋体" w:eastAsia="宋体" w:hAnsi="宋体" w:cs="宋体"/>
          <w:color w:val="2E2E2E"/>
          <w:kern w:val="0"/>
          <w:sz w:val="24"/>
          <w:szCs w:val="24"/>
        </w:rPr>
      </w:pPr>
      <w:r w:rsidRPr="00567EEF">
        <w:rPr>
          <w:rFonts w:asciiTheme="minorEastAsia" w:hAnsiTheme="minorEastAsia" w:cs="宋体" w:hint="eastAsia"/>
          <w:color w:val="2E2E2E"/>
          <w:kern w:val="0"/>
          <w:sz w:val="18"/>
          <w:szCs w:val="18"/>
        </w:rPr>
        <w:t>深交所投资者教育中心</w:t>
      </w:r>
    </w:p>
    <w:p w:rsidR="00567EEF" w:rsidRPr="00567EEF" w:rsidRDefault="00567EEF" w:rsidP="00567EEF">
      <w:pPr>
        <w:widowControl/>
        <w:spacing w:line="360" w:lineRule="atLeast"/>
        <w:ind w:firstLineChars="200" w:firstLine="480"/>
        <w:jc w:val="center"/>
        <w:rPr>
          <w:rFonts w:asciiTheme="minorEastAsia" w:hAnsiTheme="minorEastAsia" w:cs="宋体"/>
          <w:b/>
          <w:color w:val="2E2E2E"/>
          <w:kern w:val="0"/>
          <w:sz w:val="18"/>
          <w:szCs w:val="18"/>
        </w:rPr>
      </w:pPr>
      <w:r w:rsidRPr="00567EEF">
        <w:rPr>
          <w:rFonts w:ascii="宋体" w:eastAsia="宋体" w:hAnsi="宋体" w:cs="宋体"/>
          <w:color w:val="2E2E2E"/>
          <w:kern w:val="0"/>
          <w:sz w:val="24"/>
          <w:szCs w:val="24"/>
        </w:rPr>
        <w:t> </w:t>
      </w:r>
    </w:p>
    <w:p w:rsidR="00567EEF" w:rsidRPr="00567EEF" w:rsidRDefault="00567EEF" w:rsidP="00567EEF">
      <w:pPr>
        <w:widowControl/>
        <w:spacing w:line="360" w:lineRule="atLeast"/>
        <w:ind w:firstLineChars="200" w:firstLine="360"/>
        <w:jc w:val="left"/>
        <w:rPr>
          <w:rFonts w:asciiTheme="minorEastAsia" w:hAnsiTheme="minorEastAsia" w:cs="宋体" w:hint="eastAsia"/>
          <w:color w:val="2E2E2E"/>
          <w:kern w:val="0"/>
          <w:sz w:val="18"/>
          <w:szCs w:val="18"/>
        </w:rPr>
      </w:pPr>
      <w:r w:rsidRPr="00567EEF">
        <w:rPr>
          <w:rFonts w:asciiTheme="minorEastAsia" w:hAnsiTheme="minorEastAsia" w:cs="宋体" w:hint="eastAsia"/>
          <w:color w:val="2E2E2E"/>
          <w:kern w:val="0"/>
          <w:sz w:val="18"/>
          <w:szCs w:val="18"/>
        </w:rPr>
        <w:t>深港通是境内交易所再度与香港交易所建立的连接机制，有利于在更大范围、更高层次、更深程度上加强内地与香港合作，巩固和提升香港作为国际金融中心的地位，推动人民币国际化，提升我国金融业的国际竞争力和服务实体经济能力，也有利于投资者更好的共享两地经济发展成果，满足投资者多样化的跨境投资以及风险管理需求。内地投资者在参与深港通下港股通（以下简称“港股通”）交易时，需了解以下基础知识点，练好基本功，才能安全顺畅地利用这一便利跨境投资渠道。</w:t>
      </w:r>
    </w:p>
    <w:p w:rsidR="00567EEF" w:rsidRPr="00567EEF" w:rsidRDefault="00567EEF" w:rsidP="00567EEF">
      <w:pPr>
        <w:widowControl/>
        <w:spacing w:line="360" w:lineRule="atLeast"/>
        <w:ind w:firstLineChars="200" w:firstLine="361"/>
        <w:jc w:val="left"/>
        <w:rPr>
          <w:rFonts w:asciiTheme="minorEastAsia" w:hAnsiTheme="minorEastAsia" w:cs="宋体" w:hint="eastAsia"/>
          <w:b/>
          <w:color w:val="2E2E2E"/>
          <w:kern w:val="0"/>
          <w:sz w:val="18"/>
          <w:szCs w:val="18"/>
        </w:rPr>
      </w:pPr>
      <w:r w:rsidRPr="00567EEF">
        <w:rPr>
          <w:rFonts w:asciiTheme="minorEastAsia" w:hAnsiTheme="minorEastAsia" w:cs="宋体" w:hint="eastAsia"/>
          <w:b/>
          <w:color w:val="2E2E2E"/>
          <w:kern w:val="0"/>
          <w:sz w:val="18"/>
          <w:szCs w:val="18"/>
        </w:rPr>
        <w:t>一、哪些投资者可以参与港股通交易？</w:t>
      </w:r>
    </w:p>
    <w:p w:rsidR="00567EEF" w:rsidRPr="00567EEF" w:rsidRDefault="00567EEF" w:rsidP="00567EEF">
      <w:pPr>
        <w:widowControl/>
        <w:spacing w:line="360" w:lineRule="atLeast"/>
        <w:ind w:firstLineChars="200" w:firstLine="360"/>
        <w:jc w:val="left"/>
        <w:rPr>
          <w:rFonts w:asciiTheme="minorEastAsia" w:hAnsiTheme="minorEastAsia" w:cs="宋体" w:hint="eastAsia"/>
          <w:color w:val="2E2E2E"/>
          <w:kern w:val="0"/>
          <w:sz w:val="18"/>
          <w:szCs w:val="18"/>
        </w:rPr>
      </w:pPr>
      <w:r w:rsidRPr="00567EEF">
        <w:rPr>
          <w:rFonts w:asciiTheme="minorEastAsia" w:hAnsiTheme="minorEastAsia" w:cs="宋体" w:hint="eastAsia"/>
          <w:color w:val="2E2E2E"/>
          <w:kern w:val="0"/>
          <w:sz w:val="18"/>
          <w:szCs w:val="18"/>
        </w:rPr>
        <w:t>参与港股通的境内投资者限于满足港股通适当性要求的个人投资者和符合相关规定的机构投资者。</w:t>
      </w:r>
    </w:p>
    <w:p w:rsidR="00567EEF" w:rsidRPr="00567EEF" w:rsidRDefault="00567EEF" w:rsidP="00567EEF">
      <w:pPr>
        <w:widowControl/>
        <w:spacing w:line="360" w:lineRule="atLeast"/>
        <w:ind w:firstLineChars="200" w:firstLine="360"/>
        <w:jc w:val="left"/>
        <w:rPr>
          <w:rFonts w:asciiTheme="minorEastAsia" w:hAnsiTheme="minorEastAsia" w:cs="宋体" w:hint="eastAsia"/>
          <w:color w:val="2E2E2E"/>
          <w:kern w:val="0"/>
          <w:sz w:val="18"/>
          <w:szCs w:val="18"/>
        </w:rPr>
      </w:pPr>
      <w:r w:rsidRPr="00567EEF">
        <w:rPr>
          <w:rFonts w:asciiTheme="minorEastAsia" w:hAnsiTheme="minorEastAsia" w:cs="宋体" w:hint="eastAsia"/>
          <w:color w:val="2E2E2E"/>
          <w:kern w:val="0"/>
          <w:sz w:val="18"/>
          <w:szCs w:val="18"/>
        </w:rPr>
        <w:t>个人投资者参与港股通需满足以下条件：</w:t>
      </w:r>
    </w:p>
    <w:p w:rsidR="00567EEF" w:rsidRPr="00567EEF" w:rsidRDefault="00567EEF" w:rsidP="00567EEF">
      <w:pPr>
        <w:widowControl/>
        <w:spacing w:line="360" w:lineRule="atLeast"/>
        <w:ind w:firstLineChars="200" w:firstLine="360"/>
        <w:jc w:val="left"/>
        <w:rPr>
          <w:rFonts w:asciiTheme="minorEastAsia" w:hAnsiTheme="minorEastAsia" w:cs="宋体" w:hint="eastAsia"/>
          <w:color w:val="2E2E2E"/>
          <w:kern w:val="0"/>
          <w:sz w:val="18"/>
          <w:szCs w:val="18"/>
        </w:rPr>
      </w:pPr>
      <w:r w:rsidRPr="00567EEF">
        <w:rPr>
          <w:rFonts w:asciiTheme="minorEastAsia" w:hAnsiTheme="minorEastAsia" w:cs="宋体" w:hint="eastAsia"/>
          <w:color w:val="2E2E2E"/>
          <w:kern w:val="0"/>
          <w:sz w:val="18"/>
          <w:szCs w:val="18"/>
        </w:rPr>
        <w:t>（1）证券账户及资金账户内的资产合计不低于人民币50万元，其中不包括该投资者通过融资融券交易融入的资金和证券资产；</w:t>
      </w:r>
    </w:p>
    <w:p w:rsidR="00567EEF" w:rsidRPr="00567EEF" w:rsidRDefault="00567EEF" w:rsidP="00567EEF">
      <w:pPr>
        <w:widowControl/>
        <w:spacing w:line="360" w:lineRule="atLeast"/>
        <w:ind w:firstLineChars="200" w:firstLine="360"/>
        <w:jc w:val="left"/>
        <w:rPr>
          <w:rFonts w:asciiTheme="minorEastAsia" w:hAnsiTheme="minorEastAsia" w:cs="宋体" w:hint="eastAsia"/>
          <w:color w:val="2E2E2E"/>
          <w:kern w:val="0"/>
          <w:sz w:val="18"/>
          <w:szCs w:val="18"/>
        </w:rPr>
      </w:pPr>
      <w:r w:rsidRPr="00567EEF">
        <w:rPr>
          <w:rFonts w:asciiTheme="minorEastAsia" w:hAnsiTheme="minorEastAsia" w:cs="宋体" w:hint="eastAsia"/>
          <w:color w:val="2E2E2E"/>
          <w:kern w:val="0"/>
          <w:sz w:val="18"/>
          <w:szCs w:val="18"/>
        </w:rPr>
        <w:t>（2）通过证券公司评估，满足知识水平、风险承受能力和诚信状况等方面的要求；</w:t>
      </w:r>
    </w:p>
    <w:p w:rsidR="00567EEF" w:rsidRPr="00567EEF" w:rsidRDefault="00567EEF" w:rsidP="00567EEF">
      <w:pPr>
        <w:widowControl/>
        <w:spacing w:line="360" w:lineRule="atLeast"/>
        <w:ind w:firstLineChars="200" w:firstLine="360"/>
        <w:jc w:val="left"/>
        <w:rPr>
          <w:rFonts w:asciiTheme="minorEastAsia" w:hAnsiTheme="minorEastAsia" w:cs="宋体" w:hint="eastAsia"/>
          <w:color w:val="2E2E2E"/>
          <w:kern w:val="0"/>
          <w:sz w:val="18"/>
          <w:szCs w:val="18"/>
        </w:rPr>
      </w:pPr>
      <w:r w:rsidRPr="00567EEF">
        <w:rPr>
          <w:rFonts w:asciiTheme="minorEastAsia" w:hAnsiTheme="minorEastAsia" w:cs="宋体" w:hint="eastAsia"/>
          <w:color w:val="2E2E2E"/>
          <w:kern w:val="0"/>
          <w:sz w:val="18"/>
          <w:szCs w:val="18"/>
        </w:rPr>
        <w:t>（3）不存在严重不良诚信记录，不存在法律、行政法规、部门规章、规范性文件和业务规则规定的禁止或者限制参与港股通交易的情形。</w:t>
      </w:r>
    </w:p>
    <w:p w:rsidR="00567EEF" w:rsidRPr="00567EEF" w:rsidRDefault="00567EEF" w:rsidP="00567EEF">
      <w:pPr>
        <w:widowControl/>
        <w:spacing w:line="360" w:lineRule="atLeast"/>
        <w:ind w:firstLineChars="200" w:firstLine="360"/>
        <w:jc w:val="left"/>
        <w:rPr>
          <w:rFonts w:asciiTheme="minorEastAsia" w:hAnsiTheme="minorEastAsia" w:cs="宋体" w:hint="eastAsia"/>
          <w:color w:val="2E2E2E"/>
          <w:kern w:val="0"/>
          <w:sz w:val="18"/>
          <w:szCs w:val="18"/>
        </w:rPr>
      </w:pPr>
      <w:r w:rsidRPr="00567EEF">
        <w:rPr>
          <w:rFonts w:asciiTheme="minorEastAsia" w:hAnsiTheme="minorEastAsia" w:cs="宋体" w:hint="eastAsia"/>
          <w:color w:val="2E2E2E"/>
          <w:kern w:val="0"/>
          <w:sz w:val="18"/>
          <w:szCs w:val="18"/>
        </w:rPr>
        <w:t>符合上述适当性条件的个人投资者，还需签署风险揭示书，并且与证券公司签署委托协议后方可参与港股通交易。</w:t>
      </w:r>
    </w:p>
    <w:p w:rsidR="00567EEF" w:rsidRPr="00567EEF" w:rsidRDefault="00567EEF" w:rsidP="00567EEF">
      <w:pPr>
        <w:widowControl/>
        <w:spacing w:line="360" w:lineRule="atLeast"/>
        <w:ind w:firstLine="361"/>
        <w:jc w:val="left"/>
        <w:rPr>
          <w:rFonts w:asciiTheme="minorEastAsia" w:hAnsiTheme="minorEastAsia" w:cs="Arial" w:hint="eastAsia"/>
          <w:b/>
          <w:color w:val="2E2E2E"/>
          <w:kern w:val="0"/>
          <w:sz w:val="18"/>
          <w:szCs w:val="18"/>
        </w:rPr>
      </w:pPr>
      <w:r w:rsidRPr="00567EEF">
        <w:rPr>
          <w:rFonts w:asciiTheme="minorEastAsia" w:hAnsiTheme="minorEastAsia" w:cstheme="minorEastAsia" w:hint="eastAsia"/>
          <w:b/>
          <w:color w:val="2E2E2E"/>
          <w:kern w:val="0"/>
          <w:sz w:val="18"/>
          <w:szCs w:val="18"/>
        </w:rPr>
        <w:t>二、</w:t>
      </w:r>
      <w:r w:rsidRPr="00567EEF">
        <w:rPr>
          <w:rFonts w:ascii="Times New Roman" w:hAnsi="Times New Roman" w:cs="Times New Roman"/>
          <w:b/>
          <w:color w:val="2E2E2E"/>
          <w:kern w:val="0"/>
          <w:sz w:val="14"/>
          <w:szCs w:val="14"/>
        </w:rPr>
        <w:t xml:space="preserve"> </w:t>
      </w:r>
      <w:r w:rsidRPr="00567EEF">
        <w:rPr>
          <w:rFonts w:asciiTheme="minorEastAsia" w:hAnsiTheme="minorEastAsia" w:cs="Arial" w:hint="eastAsia"/>
          <w:b/>
          <w:color w:val="2E2E2E"/>
          <w:kern w:val="0"/>
          <w:sz w:val="18"/>
          <w:szCs w:val="18"/>
        </w:rPr>
        <w:t>个人投资者如何参与港股通交易？</w:t>
      </w:r>
    </w:p>
    <w:p w:rsidR="00567EEF" w:rsidRPr="00567EEF" w:rsidRDefault="00567EEF" w:rsidP="00567EEF">
      <w:pPr>
        <w:widowControl/>
        <w:spacing w:line="360" w:lineRule="atLeast"/>
        <w:ind w:firstLineChars="200" w:firstLine="360"/>
        <w:jc w:val="left"/>
        <w:rPr>
          <w:rFonts w:asciiTheme="minorEastAsia" w:hAnsiTheme="minorEastAsia" w:cs="宋体" w:hint="eastAsia"/>
          <w:color w:val="2E2E2E"/>
          <w:kern w:val="0"/>
          <w:sz w:val="18"/>
          <w:szCs w:val="18"/>
        </w:rPr>
      </w:pPr>
      <w:r w:rsidRPr="00567EEF">
        <w:rPr>
          <w:rFonts w:asciiTheme="minorEastAsia" w:hAnsiTheme="minorEastAsia" w:cs="宋体" w:hint="eastAsia"/>
          <w:color w:val="2E2E2E"/>
          <w:kern w:val="0"/>
          <w:sz w:val="18"/>
          <w:szCs w:val="18"/>
        </w:rPr>
        <w:t>个人投资者应当通过深市人民币普通股票账户进行港股通交易。个人投资者在参与港股通交易前，应先依照法律法规、相关业务规则开立账户用于证券交易和清算交收等。已经开立深市人民币普通股票账户的投资者，可使用现有账户进行港股通交易。</w:t>
      </w:r>
    </w:p>
    <w:p w:rsidR="00567EEF" w:rsidRPr="00567EEF" w:rsidRDefault="00567EEF" w:rsidP="00567EEF">
      <w:pPr>
        <w:widowControl/>
        <w:spacing w:line="360" w:lineRule="atLeast"/>
        <w:ind w:firstLineChars="200" w:firstLine="360"/>
        <w:jc w:val="left"/>
        <w:rPr>
          <w:rFonts w:asciiTheme="minorEastAsia" w:hAnsiTheme="minorEastAsia" w:cs="宋体" w:hint="eastAsia"/>
          <w:color w:val="2E2E2E"/>
          <w:kern w:val="0"/>
          <w:sz w:val="18"/>
          <w:szCs w:val="18"/>
        </w:rPr>
      </w:pPr>
      <w:r w:rsidRPr="00567EEF">
        <w:rPr>
          <w:rFonts w:asciiTheme="minorEastAsia" w:hAnsiTheme="minorEastAsia" w:cs="宋体" w:hint="eastAsia"/>
          <w:color w:val="2E2E2E"/>
          <w:kern w:val="0"/>
          <w:sz w:val="18"/>
          <w:szCs w:val="18"/>
        </w:rPr>
        <w:t>证券公司在为个人投资者开通港股通交易权限前，应对个人投资者是否符合投资者适当性条件进行核查，对个人投资者的资产状况、诚信状况、知识水平和风险承受能力等进行综合评估。在通过港股通投资者适当性管理的评估后，投资者还应签署港股通交易风险揭示书，并与证券公司签订港股通委托协议。</w:t>
      </w:r>
    </w:p>
    <w:p w:rsidR="00567EEF" w:rsidRPr="00567EEF" w:rsidRDefault="00567EEF" w:rsidP="00567EEF">
      <w:pPr>
        <w:widowControl/>
        <w:spacing w:line="360" w:lineRule="atLeast"/>
        <w:ind w:firstLineChars="200" w:firstLine="360"/>
        <w:jc w:val="left"/>
        <w:rPr>
          <w:rFonts w:asciiTheme="minorEastAsia" w:hAnsiTheme="minorEastAsia" w:cs="宋体" w:hint="eastAsia"/>
          <w:color w:val="2E2E2E"/>
          <w:kern w:val="0"/>
          <w:sz w:val="18"/>
          <w:szCs w:val="18"/>
        </w:rPr>
      </w:pPr>
      <w:r w:rsidRPr="00567EEF">
        <w:rPr>
          <w:rFonts w:asciiTheme="minorEastAsia" w:hAnsiTheme="minorEastAsia" w:cs="宋体" w:hint="eastAsia"/>
          <w:color w:val="2E2E2E"/>
          <w:kern w:val="0"/>
          <w:sz w:val="18"/>
          <w:szCs w:val="18"/>
        </w:rPr>
        <w:t xml:space="preserve">投资者通过委托内地证券公司买卖港股通股票，对新办理或者变更转托管的，自下一个港股通交易日起，才可以进行港股通交易。投资者存在当日有交易行为、当日有申报、有交易未完成交收或者深交所业务规则规定的其他情形的，不得注销证券账户。 </w:t>
      </w:r>
    </w:p>
    <w:p w:rsidR="00567EEF" w:rsidRPr="00567EEF" w:rsidRDefault="00567EEF" w:rsidP="00567EEF">
      <w:pPr>
        <w:widowControl/>
        <w:spacing w:line="360" w:lineRule="atLeast"/>
        <w:ind w:firstLineChars="200" w:firstLine="360"/>
        <w:jc w:val="left"/>
        <w:rPr>
          <w:rFonts w:asciiTheme="minorEastAsia" w:hAnsiTheme="minorEastAsia" w:cs="宋体" w:hint="eastAsia"/>
          <w:color w:val="2E2E2E"/>
          <w:kern w:val="0"/>
          <w:sz w:val="18"/>
          <w:szCs w:val="18"/>
        </w:rPr>
      </w:pPr>
      <w:r w:rsidRPr="00567EEF">
        <w:rPr>
          <w:rFonts w:asciiTheme="minorEastAsia" w:hAnsiTheme="minorEastAsia" w:cs="宋体" w:hint="eastAsia"/>
          <w:color w:val="2E2E2E"/>
          <w:kern w:val="0"/>
          <w:sz w:val="18"/>
          <w:szCs w:val="18"/>
        </w:rPr>
        <w:t>在交易环节，个人投资者委托内地证券公司买卖港股通股票的，证券公司接受委托，经由深交所证券交易服务公司，向联交所进行申报。该申报在联交所交易平台撮合成交后，将通过相同路径向内地证券公司和投资者返回成交情况。</w:t>
      </w:r>
    </w:p>
    <w:p w:rsidR="00567EEF" w:rsidRPr="00567EEF" w:rsidRDefault="00567EEF" w:rsidP="00567EEF">
      <w:pPr>
        <w:widowControl/>
        <w:spacing w:line="360" w:lineRule="atLeast"/>
        <w:ind w:firstLineChars="200" w:firstLine="360"/>
        <w:jc w:val="left"/>
        <w:rPr>
          <w:rFonts w:asciiTheme="minorEastAsia" w:hAnsiTheme="minorEastAsia" w:cs="宋体" w:hint="eastAsia"/>
          <w:color w:val="2E2E2E"/>
          <w:kern w:val="0"/>
          <w:sz w:val="18"/>
          <w:szCs w:val="18"/>
        </w:rPr>
      </w:pPr>
      <w:r w:rsidRPr="00567EEF">
        <w:rPr>
          <w:rFonts w:asciiTheme="minorEastAsia" w:hAnsiTheme="minorEastAsia" w:cs="宋体" w:hint="eastAsia"/>
          <w:color w:val="2E2E2E"/>
          <w:kern w:val="0"/>
          <w:sz w:val="18"/>
          <w:szCs w:val="18"/>
        </w:rPr>
        <w:t>在结算环节，中国结算作为港股通股票的名义持有人向香港结算履行港股通交易的清算交收责任，中国结算进而与证券公司（结算参与人）就港股通交易进行清算交收，证券公司负责办理自身与投资者之间的清算交收。</w:t>
      </w:r>
    </w:p>
    <w:p w:rsidR="00567EEF" w:rsidRPr="00567EEF" w:rsidRDefault="00567EEF" w:rsidP="00567EEF">
      <w:pPr>
        <w:widowControl/>
        <w:spacing w:line="360" w:lineRule="atLeast"/>
        <w:ind w:firstLineChars="200" w:firstLine="361"/>
        <w:jc w:val="left"/>
        <w:rPr>
          <w:rFonts w:asciiTheme="minorEastAsia" w:hAnsiTheme="minorEastAsia" w:cs="宋体" w:hint="eastAsia"/>
          <w:b/>
          <w:color w:val="2E2E2E"/>
          <w:kern w:val="0"/>
          <w:sz w:val="18"/>
          <w:szCs w:val="18"/>
        </w:rPr>
      </w:pPr>
      <w:r w:rsidRPr="00567EEF">
        <w:rPr>
          <w:rFonts w:asciiTheme="minorEastAsia" w:hAnsiTheme="minorEastAsia" w:cs="宋体" w:hint="eastAsia"/>
          <w:b/>
          <w:color w:val="2E2E2E"/>
          <w:kern w:val="0"/>
          <w:sz w:val="18"/>
          <w:szCs w:val="18"/>
        </w:rPr>
        <w:t>三、投资者参与港股通交易有哪些应该注意的特别事项？</w:t>
      </w:r>
    </w:p>
    <w:p w:rsidR="00567EEF" w:rsidRPr="00567EEF" w:rsidRDefault="00567EEF" w:rsidP="00567EEF">
      <w:pPr>
        <w:widowControl/>
        <w:spacing w:line="360" w:lineRule="atLeast"/>
        <w:ind w:firstLineChars="200" w:firstLine="360"/>
        <w:jc w:val="left"/>
        <w:rPr>
          <w:rFonts w:asciiTheme="minorEastAsia" w:hAnsiTheme="minorEastAsia" w:cs="宋体" w:hint="eastAsia"/>
          <w:color w:val="2E2E2E"/>
          <w:kern w:val="0"/>
          <w:sz w:val="18"/>
          <w:szCs w:val="18"/>
        </w:rPr>
      </w:pPr>
      <w:r w:rsidRPr="00567EEF">
        <w:rPr>
          <w:rFonts w:asciiTheme="minorEastAsia" w:hAnsiTheme="minorEastAsia" w:cs="宋体" w:hint="eastAsia"/>
          <w:color w:val="2E2E2E"/>
          <w:kern w:val="0"/>
          <w:sz w:val="18"/>
          <w:szCs w:val="18"/>
        </w:rPr>
        <w:lastRenderedPageBreak/>
        <w:t>一是交易日和交易时间，港股通将仅在深港两地均为交易日并且能够满足结算安排时开通。深交所证券交易服务公司将于每年年末在指定网站公布下一年港股通交易日历安排。深港通开通当年的交易日安排将在开通前向市场公布。</w:t>
      </w:r>
    </w:p>
    <w:p w:rsidR="00567EEF" w:rsidRPr="00567EEF" w:rsidRDefault="00567EEF" w:rsidP="00567EEF">
      <w:pPr>
        <w:widowControl/>
        <w:spacing w:line="360" w:lineRule="atLeast"/>
        <w:ind w:firstLineChars="200" w:firstLine="360"/>
        <w:jc w:val="left"/>
        <w:rPr>
          <w:rFonts w:asciiTheme="minorEastAsia" w:hAnsiTheme="minorEastAsia" w:cs="宋体" w:hint="eastAsia"/>
          <w:color w:val="2E2E2E"/>
          <w:kern w:val="0"/>
          <w:sz w:val="18"/>
          <w:szCs w:val="18"/>
        </w:rPr>
      </w:pPr>
      <w:r w:rsidRPr="00567EEF">
        <w:rPr>
          <w:rFonts w:asciiTheme="minorEastAsia" w:hAnsiTheme="minorEastAsia" w:cs="宋体" w:hint="eastAsia"/>
          <w:color w:val="2E2E2E"/>
          <w:kern w:val="0"/>
          <w:sz w:val="18"/>
          <w:szCs w:val="18"/>
        </w:rPr>
        <w:t>如果发生深交所证券交易服务公司认定的特殊情形，导致或者可能导致港股通交易无法正常进行的，那么深交所证券交易服务公司可以调整港股通交易日并向市场公布。</w:t>
      </w:r>
    </w:p>
    <w:p w:rsidR="00567EEF" w:rsidRPr="00567EEF" w:rsidRDefault="00567EEF" w:rsidP="00567EEF">
      <w:pPr>
        <w:widowControl/>
        <w:spacing w:line="360" w:lineRule="atLeast"/>
        <w:ind w:firstLineChars="200" w:firstLine="360"/>
        <w:jc w:val="left"/>
        <w:rPr>
          <w:rFonts w:asciiTheme="minorEastAsia" w:hAnsiTheme="minorEastAsia" w:cs="宋体" w:hint="eastAsia"/>
          <w:color w:val="2E2E2E"/>
          <w:kern w:val="0"/>
          <w:sz w:val="18"/>
          <w:szCs w:val="18"/>
        </w:rPr>
      </w:pPr>
      <w:r w:rsidRPr="00567EEF">
        <w:rPr>
          <w:rFonts w:asciiTheme="minorEastAsia" w:hAnsiTheme="minorEastAsia" w:cs="宋体" w:hint="eastAsia"/>
          <w:color w:val="2E2E2E"/>
          <w:kern w:val="0"/>
          <w:sz w:val="18"/>
          <w:szCs w:val="18"/>
        </w:rPr>
        <w:t>投资者买卖港股通股票的交易时间应遵守联交所规定，即交易日的9:00至9:30为开市前时段（集合竞价），其中9:00至9:15接受竞价限价盘申报；9:30至12:00及13:00至16:00为持续交易时段（连续竞价），接受增强限价盘申报，16:00-16:10为收市竞价交易时段（于16:08-16:10之间随机收市），16:01开始接受竞价限价盘申报。如果圣诞前夕（12月24日）、新年前夕（12月31日）及农历新年前夕（农历腊月最后一天）为交易日，上述日期为半天交易。</w:t>
      </w:r>
    </w:p>
    <w:p w:rsidR="00567EEF" w:rsidRPr="00567EEF" w:rsidRDefault="00567EEF" w:rsidP="00567EEF">
      <w:pPr>
        <w:widowControl/>
        <w:spacing w:line="360" w:lineRule="atLeast"/>
        <w:ind w:firstLineChars="200" w:firstLine="360"/>
        <w:jc w:val="left"/>
        <w:rPr>
          <w:rFonts w:asciiTheme="minorEastAsia" w:hAnsiTheme="minorEastAsia" w:cs="宋体" w:hint="eastAsia"/>
          <w:color w:val="2E2E2E"/>
          <w:kern w:val="0"/>
          <w:sz w:val="18"/>
          <w:szCs w:val="18"/>
        </w:rPr>
      </w:pPr>
      <w:r w:rsidRPr="00567EEF">
        <w:rPr>
          <w:rFonts w:asciiTheme="minorEastAsia" w:hAnsiTheme="minorEastAsia" w:cs="宋体" w:hint="eastAsia"/>
          <w:color w:val="2E2E2E"/>
          <w:kern w:val="0"/>
          <w:sz w:val="18"/>
          <w:szCs w:val="18"/>
        </w:rPr>
        <w:t>二是交易方式和订单类型。港股通投资者的交易委托包括整手交易和碎股（即不足一个买卖单位的证券）交易。其中，整手交易通过联交所自动对盘系统进行，碎股只能通过联交所半自动对盘碎股交易系统卖出且不可以买入。投资者参与联交所自动对盘系统交易港股通股票时，在竞价时段（含开市前时段和收市竞价时段）应当采用“竞价限价盘”委托；在持续交易时段应当采用“增强限价盘”委托。</w:t>
      </w:r>
    </w:p>
    <w:p w:rsidR="00567EEF" w:rsidRPr="00567EEF" w:rsidRDefault="00567EEF" w:rsidP="00567EEF">
      <w:pPr>
        <w:widowControl/>
        <w:spacing w:line="360" w:lineRule="atLeast"/>
        <w:ind w:firstLineChars="200" w:firstLine="360"/>
        <w:jc w:val="left"/>
        <w:rPr>
          <w:rFonts w:asciiTheme="minorEastAsia" w:hAnsiTheme="minorEastAsia" w:cs="宋体" w:hint="eastAsia"/>
          <w:color w:val="2E2E2E"/>
          <w:kern w:val="0"/>
          <w:sz w:val="18"/>
          <w:szCs w:val="18"/>
        </w:rPr>
      </w:pPr>
      <w:r w:rsidRPr="00567EEF">
        <w:rPr>
          <w:rFonts w:asciiTheme="minorEastAsia" w:hAnsiTheme="minorEastAsia" w:cs="宋体" w:hint="eastAsia"/>
          <w:color w:val="2E2E2E"/>
          <w:kern w:val="0"/>
          <w:sz w:val="18"/>
          <w:szCs w:val="18"/>
        </w:rPr>
        <w:t>三是订单更改。投资者的港股通订单如果已经申报的，不得更改申报价格或数量，但在联交所允许撤销申报的时段内，未成交的申报可以撤销。联交所市场允许港股通投资者撤销申报的时段包括：9:00-9:15；9:30-12:00；12:30-16:00；16:01-16:06。</w:t>
      </w:r>
    </w:p>
    <w:p w:rsidR="00567EEF" w:rsidRPr="00567EEF" w:rsidRDefault="00567EEF" w:rsidP="00567EEF">
      <w:pPr>
        <w:widowControl/>
        <w:spacing w:line="360" w:lineRule="atLeast"/>
        <w:ind w:firstLineChars="200" w:firstLine="360"/>
        <w:jc w:val="left"/>
        <w:rPr>
          <w:rFonts w:asciiTheme="minorEastAsia" w:hAnsiTheme="minorEastAsia" w:cs="宋体" w:hint="eastAsia"/>
          <w:color w:val="2E2E2E"/>
          <w:kern w:val="0"/>
          <w:sz w:val="18"/>
          <w:szCs w:val="18"/>
        </w:rPr>
      </w:pPr>
      <w:r w:rsidRPr="00567EEF">
        <w:rPr>
          <w:rFonts w:asciiTheme="minorEastAsia" w:hAnsiTheme="minorEastAsia" w:cs="宋体" w:hint="eastAsia"/>
          <w:color w:val="2E2E2E"/>
          <w:kern w:val="0"/>
          <w:sz w:val="18"/>
          <w:szCs w:val="18"/>
        </w:rPr>
        <w:t>四是回转交易。交易方面，香港市场实行T+0回转交易，投资者当日买入的港股通股票，经确认成交后，在交收前即可卖出。交收方面，香港市场实行T+2交收，即T日买入港股的港股通投资者，T+2日日终完成交收后才可以享有相关证券的权益，但投资者买入的港股通股票是可以在交收前的T日及T+1日卖出的。因此投资者应注意由此可能产生的风险。</w:t>
      </w:r>
    </w:p>
    <w:p w:rsidR="00567EEF" w:rsidRPr="00567EEF" w:rsidRDefault="00567EEF" w:rsidP="00567EEF">
      <w:pPr>
        <w:widowControl/>
        <w:spacing w:line="360" w:lineRule="atLeast"/>
        <w:ind w:firstLineChars="200" w:firstLine="360"/>
        <w:jc w:val="left"/>
        <w:rPr>
          <w:rFonts w:asciiTheme="minorEastAsia" w:hAnsiTheme="minorEastAsia" w:cs="宋体" w:hint="eastAsia"/>
          <w:color w:val="2E2E2E"/>
          <w:kern w:val="0"/>
          <w:sz w:val="18"/>
          <w:szCs w:val="18"/>
        </w:rPr>
      </w:pPr>
      <w:r w:rsidRPr="00567EEF">
        <w:rPr>
          <w:rFonts w:asciiTheme="minorEastAsia" w:hAnsiTheme="minorEastAsia" w:cs="宋体" w:hint="eastAsia"/>
          <w:color w:val="2E2E2E"/>
          <w:kern w:val="0"/>
          <w:sz w:val="18"/>
          <w:szCs w:val="18"/>
        </w:rPr>
        <w:t>五是交易信息。投资者通过港股通业务获得的香港证券市场免费一档行情，与付费方式获得的行情相比，在刷新频率、档位显示等方面存在差异，投资者应当关注依此进行投资决策的风险。</w:t>
      </w:r>
    </w:p>
    <w:p w:rsidR="00567EEF" w:rsidRPr="00567EEF" w:rsidRDefault="00567EEF" w:rsidP="00567EEF">
      <w:pPr>
        <w:widowControl/>
        <w:spacing w:line="360" w:lineRule="atLeast"/>
        <w:ind w:firstLineChars="200" w:firstLine="360"/>
        <w:jc w:val="left"/>
        <w:rPr>
          <w:rFonts w:asciiTheme="minorEastAsia" w:hAnsiTheme="minorEastAsia" w:cs="宋体" w:hint="eastAsia"/>
          <w:color w:val="2E2E2E"/>
          <w:kern w:val="0"/>
          <w:sz w:val="18"/>
          <w:szCs w:val="18"/>
        </w:rPr>
      </w:pPr>
      <w:r w:rsidRPr="00567EEF">
        <w:rPr>
          <w:rFonts w:asciiTheme="minorEastAsia" w:hAnsiTheme="minorEastAsia" w:cs="宋体" w:hint="eastAsia"/>
          <w:color w:val="2E2E2E"/>
          <w:kern w:val="0"/>
          <w:sz w:val="18"/>
          <w:szCs w:val="18"/>
        </w:rPr>
        <w:t>六是权益证券处理。投资者因港股通股票权益分派、转换、上市公司被收购等情形或者异常情况，所取得的联交所上市非港股通证券，只能通过港股通卖出，但不得买入，深交所另有规定的除外；因港股通股票权益分派或者转换等情形取得的联交所上市股票的认购权利在联交所上市的，可以通过港股通卖出，但不得行权；因港股通股票权益分派、转换或者上市公司被收购等所取得的非联交所上市证券，可以享有相关权益，但不得通过港股通买入或卖出。</w:t>
      </w:r>
    </w:p>
    <w:p w:rsidR="00567EEF" w:rsidRPr="00567EEF" w:rsidRDefault="00567EEF" w:rsidP="00567EEF">
      <w:pPr>
        <w:widowControl/>
        <w:spacing w:line="360" w:lineRule="atLeast"/>
        <w:ind w:firstLineChars="200" w:firstLine="361"/>
        <w:jc w:val="left"/>
        <w:rPr>
          <w:rFonts w:asciiTheme="minorEastAsia" w:hAnsiTheme="minorEastAsia" w:cs="宋体" w:hint="eastAsia"/>
          <w:b/>
          <w:color w:val="2E2E2E"/>
          <w:kern w:val="0"/>
          <w:sz w:val="18"/>
          <w:szCs w:val="18"/>
        </w:rPr>
      </w:pPr>
      <w:r w:rsidRPr="00567EEF">
        <w:rPr>
          <w:rFonts w:asciiTheme="minorEastAsia" w:hAnsiTheme="minorEastAsia" w:cs="宋体" w:hint="eastAsia"/>
          <w:b/>
          <w:color w:val="2E2E2E"/>
          <w:kern w:val="0"/>
          <w:sz w:val="18"/>
          <w:szCs w:val="18"/>
        </w:rPr>
        <w:t>四、港股通标的新增中小市值股票后，投资者应重点关注哪些风险？</w:t>
      </w:r>
    </w:p>
    <w:p w:rsidR="00567EEF" w:rsidRPr="00567EEF" w:rsidRDefault="00567EEF" w:rsidP="00567EEF">
      <w:pPr>
        <w:widowControl/>
        <w:spacing w:line="360" w:lineRule="atLeast"/>
        <w:ind w:firstLineChars="200" w:firstLine="360"/>
        <w:jc w:val="left"/>
        <w:rPr>
          <w:rFonts w:asciiTheme="minorEastAsia" w:hAnsiTheme="minorEastAsia" w:cs="宋体" w:hint="eastAsia"/>
          <w:color w:val="2E2E2E"/>
          <w:kern w:val="0"/>
          <w:sz w:val="18"/>
          <w:szCs w:val="18"/>
        </w:rPr>
      </w:pPr>
      <w:r w:rsidRPr="00567EEF">
        <w:rPr>
          <w:rFonts w:asciiTheme="minorEastAsia" w:hAnsiTheme="minorEastAsia" w:cs="宋体" w:hint="eastAsia"/>
          <w:color w:val="2E2E2E"/>
          <w:kern w:val="0"/>
          <w:sz w:val="18"/>
          <w:szCs w:val="18"/>
        </w:rPr>
        <w:t>深港通下的港股通标的范围新增部分符合条件的中小市值香港市场股票，为内地投资者提供了更为丰富的投资选择，同时，也对投资者的投资知识水平和风险承受能力提出了更高的要求。投资者在参与港股通交易时，应对港股通交易特有的规则及相关风险有了解和掌握，并确信自己已做好足够的风险评估与财务安排，避免因参与港股通交易而遭受难以承受的损失。</w:t>
      </w:r>
    </w:p>
    <w:p w:rsidR="00567EEF" w:rsidRPr="00567EEF" w:rsidRDefault="00567EEF" w:rsidP="00567EEF">
      <w:pPr>
        <w:widowControl/>
        <w:spacing w:line="360" w:lineRule="atLeast"/>
        <w:ind w:firstLineChars="200" w:firstLine="360"/>
        <w:jc w:val="left"/>
        <w:rPr>
          <w:rFonts w:asciiTheme="minorEastAsia" w:hAnsiTheme="minorEastAsia" w:cs="宋体" w:hint="eastAsia"/>
          <w:color w:val="2E2E2E"/>
          <w:kern w:val="0"/>
          <w:sz w:val="18"/>
          <w:szCs w:val="18"/>
        </w:rPr>
      </w:pPr>
      <w:r w:rsidRPr="00567EEF">
        <w:rPr>
          <w:rFonts w:asciiTheme="minorEastAsia" w:hAnsiTheme="minorEastAsia" w:cs="宋体" w:hint="eastAsia"/>
          <w:color w:val="2E2E2E"/>
          <w:kern w:val="0"/>
          <w:sz w:val="18"/>
          <w:szCs w:val="18"/>
        </w:rPr>
        <w:t>一是中小市值股票股价波动风险。目前香港市场虽然建立了市场波动调节机制，但对股票交易价格仍不设置涨跌幅限制，且港股实行T+0回转交易制度，加之香港市场做空机制较为灵活，因此，中小市值股票的个股股价容易受到意外事件驱动的影响，而表现出股价波动比较剧烈。</w:t>
      </w:r>
    </w:p>
    <w:p w:rsidR="00567EEF" w:rsidRPr="00567EEF" w:rsidRDefault="00567EEF" w:rsidP="00567EEF">
      <w:pPr>
        <w:widowControl/>
        <w:spacing w:line="360" w:lineRule="atLeast"/>
        <w:ind w:firstLineChars="200" w:firstLine="360"/>
        <w:jc w:val="left"/>
        <w:rPr>
          <w:rFonts w:asciiTheme="minorEastAsia" w:hAnsiTheme="minorEastAsia" w:cs="宋体" w:hint="eastAsia"/>
          <w:color w:val="2E2E2E"/>
          <w:kern w:val="0"/>
          <w:sz w:val="18"/>
          <w:szCs w:val="18"/>
        </w:rPr>
      </w:pPr>
      <w:r w:rsidRPr="00567EEF">
        <w:rPr>
          <w:rFonts w:asciiTheme="minorEastAsia" w:hAnsiTheme="minorEastAsia" w:cs="宋体" w:hint="eastAsia"/>
          <w:color w:val="2E2E2E"/>
          <w:kern w:val="0"/>
          <w:sz w:val="18"/>
          <w:szCs w:val="18"/>
        </w:rPr>
        <w:t>二是中小市值股票可能出现“老千股”的风险。投资者需关注中小市值股票普遍具有规模小、业绩不稳定、价格波动幅度较大等特点，特别注意部分港股通上市公司基本面变化大、股票价格低，可能存在大</w:t>
      </w:r>
      <w:r w:rsidRPr="00567EEF">
        <w:rPr>
          <w:rFonts w:asciiTheme="minorEastAsia" w:hAnsiTheme="minorEastAsia" w:cs="宋体" w:hint="eastAsia"/>
          <w:color w:val="2E2E2E"/>
          <w:kern w:val="0"/>
          <w:sz w:val="18"/>
          <w:szCs w:val="18"/>
        </w:rPr>
        <w:lastRenderedPageBreak/>
        <w:t>比例折价供股或配股、频繁分拆合并股份的行为，投资者持有的股份数量、股票面值可能发生大幅变化，导致投资者权益可能受损</w:t>
      </w:r>
      <w:r w:rsidRPr="00567EEF">
        <w:rPr>
          <w:rFonts w:asciiTheme="minorEastAsia" w:hAnsiTheme="minorEastAsia" w:cs="Times New Roman" w:hint="eastAsia"/>
          <w:color w:val="2E2E2E"/>
          <w:kern w:val="0"/>
          <w:sz w:val="18"/>
          <w:szCs w:val="18"/>
        </w:rPr>
        <w:t>。</w:t>
      </w:r>
    </w:p>
    <w:p w:rsidR="00567EEF" w:rsidRPr="00567EEF" w:rsidRDefault="00567EEF" w:rsidP="00567EEF">
      <w:pPr>
        <w:widowControl/>
        <w:tabs>
          <w:tab w:val="left" w:pos="851"/>
        </w:tabs>
        <w:spacing w:line="360" w:lineRule="atLeast"/>
        <w:ind w:firstLine="360"/>
        <w:jc w:val="left"/>
        <w:rPr>
          <w:rFonts w:asciiTheme="minorEastAsia" w:hAnsiTheme="minorEastAsia" w:cs="Arial" w:hint="eastAsia"/>
          <w:color w:val="2E2E2E"/>
          <w:kern w:val="0"/>
          <w:sz w:val="18"/>
          <w:szCs w:val="18"/>
        </w:rPr>
      </w:pPr>
      <w:r w:rsidRPr="00567EEF">
        <w:rPr>
          <w:rFonts w:asciiTheme="minorEastAsia" w:hAnsiTheme="minorEastAsia" w:cs="Arial" w:hint="eastAsia"/>
          <w:color w:val="2E2E2E"/>
          <w:kern w:val="0"/>
          <w:sz w:val="18"/>
          <w:szCs w:val="18"/>
        </w:rPr>
        <w:t>三是长期停牌和直接退市的风险。在停复牌、公司行为和退市制度等方面，香港与内地市场均存在一定差异，比如港股通股票可能出现长时间停牌现象；香港市场没有退市风险警示和退市整理安排，相关股票可能存在直接退市的风险；退市后，中国结算通过香港结算为投资者提供名义持有人服务可能会受限。投资者需关注相关风险，避免造成损失。</w:t>
      </w:r>
    </w:p>
    <w:p w:rsidR="00567EEF" w:rsidRPr="00567EEF" w:rsidRDefault="00567EEF" w:rsidP="00567EEF">
      <w:pPr>
        <w:widowControl/>
        <w:spacing w:line="360" w:lineRule="atLeast"/>
        <w:ind w:firstLineChars="200" w:firstLine="360"/>
        <w:jc w:val="left"/>
        <w:rPr>
          <w:rFonts w:asciiTheme="minorEastAsia" w:hAnsiTheme="minorEastAsia" w:cs="宋体" w:hint="eastAsia"/>
          <w:color w:val="2E2E2E"/>
          <w:kern w:val="0"/>
          <w:sz w:val="18"/>
          <w:szCs w:val="18"/>
        </w:rPr>
      </w:pPr>
      <w:r w:rsidRPr="00567EEF">
        <w:rPr>
          <w:rFonts w:asciiTheme="minorEastAsia" w:hAnsiTheme="minorEastAsia" w:cs="宋体" w:hint="eastAsia"/>
          <w:color w:val="2E2E2E"/>
          <w:kern w:val="0"/>
          <w:sz w:val="18"/>
          <w:szCs w:val="18"/>
        </w:rPr>
        <w:t>除此以外，港股通投资风险还包括两地规则和制度差异、标的股票动态调整、交易结算制度处理差异、技术故障等可能带来的一般风险。在此，特别提醒广大投资者，应熟悉了解香港市场相关规定，充分关注港股通交易风险，根据港股通投资者适当性条件及自身风险承受能力，审慎参与港股通交易。</w:t>
      </w:r>
    </w:p>
    <w:p w:rsidR="00567EEF" w:rsidRPr="00567EEF" w:rsidRDefault="00567EEF" w:rsidP="00567EEF">
      <w:pPr>
        <w:widowControl/>
        <w:spacing w:line="360" w:lineRule="atLeast"/>
        <w:ind w:firstLineChars="200" w:firstLine="360"/>
        <w:jc w:val="left"/>
        <w:rPr>
          <w:rFonts w:asciiTheme="minorEastAsia" w:hAnsiTheme="minorEastAsia" w:cs="宋体" w:hint="eastAsia"/>
          <w:color w:val="2E2E2E"/>
          <w:kern w:val="0"/>
          <w:sz w:val="18"/>
          <w:szCs w:val="18"/>
        </w:rPr>
      </w:pPr>
    </w:p>
    <w:p w:rsidR="00567EEF" w:rsidRPr="00567EEF" w:rsidRDefault="00567EEF" w:rsidP="00567EEF">
      <w:pPr>
        <w:widowControl/>
        <w:spacing w:line="360" w:lineRule="atLeast"/>
        <w:ind w:firstLineChars="200" w:firstLine="360"/>
        <w:jc w:val="left"/>
        <w:rPr>
          <w:rFonts w:asciiTheme="minorEastAsia" w:hAnsiTheme="minorEastAsia" w:cs="宋体" w:hint="eastAsia"/>
          <w:color w:val="000000" w:themeColor="text1"/>
          <w:kern w:val="0"/>
          <w:sz w:val="18"/>
          <w:szCs w:val="18"/>
        </w:rPr>
      </w:pPr>
      <w:r w:rsidRPr="00567EEF">
        <w:rPr>
          <w:rFonts w:asciiTheme="minorEastAsia" w:hAnsiTheme="minorEastAsia" w:cs="宋体" w:hint="eastAsia"/>
          <w:color w:val="000000" w:themeColor="text1"/>
          <w:kern w:val="0"/>
          <w:sz w:val="18"/>
          <w:szCs w:val="18"/>
        </w:rPr>
        <w:t>（免责声明：本栏目的信息不构成任何投资建议，投资者不应以该等信息取代其独立判断或仅根据该等信息做出决策。供稿人力求本栏目文章所涉信息准确可靠，但并不对其准确性、完整性和及时性做出任何保证，亦不对因使用本栏目信息引发的损失承担责任。）</w:t>
      </w:r>
    </w:p>
    <w:p w:rsidR="00567EEF" w:rsidRPr="00567EEF" w:rsidRDefault="00567EEF" w:rsidP="00567EEF">
      <w:pPr>
        <w:widowControl/>
        <w:spacing w:line="300" w:lineRule="atLeast"/>
        <w:jc w:val="left"/>
        <w:rPr>
          <w:rFonts w:ascii="Arial" w:eastAsia="宋体" w:hAnsi="Arial" w:cs="Arial" w:hint="eastAsia"/>
          <w:color w:val="4E4E4E"/>
          <w:kern w:val="0"/>
          <w:sz w:val="18"/>
          <w:szCs w:val="18"/>
        </w:rPr>
      </w:pPr>
    </w:p>
    <w:p w:rsidR="00E52260" w:rsidRDefault="00E52260"/>
    <w:sectPr w:rsidR="00E5226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2260" w:rsidRDefault="00E52260" w:rsidP="00567EEF">
      <w:r>
        <w:separator/>
      </w:r>
    </w:p>
  </w:endnote>
  <w:endnote w:type="continuationSeparator" w:id="1">
    <w:p w:rsidR="00E52260" w:rsidRDefault="00E52260" w:rsidP="00567EE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2260" w:rsidRDefault="00E52260" w:rsidP="00567EEF">
      <w:r>
        <w:separator/>
      </w:r>
    </w:p>
  </w:footnote>
  <w:footnote w:type="continuationSeparator" w:id="1">
    <w:p w:rsidR="00E52260" w:rsidRDefault="00E52260" w:rsidP="00567EE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67EEF"/>
    <w:rsid w:val="00567EEF"/>
    <w:rsid w:val="00E522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67EE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67EEF"/>
    <w:rPr>
      <w:sz w:val="18"/>
      <w:szCs w:val="18"/>
    </w:rPr>
  </w:style>
  <w:style w:type="paragraph" w:styleId="a4">
    <w:name w:val="footer"/>
    <w:basedOn w:val="a"/>
    <w:link w:val="Char0"/>
    <w:uiPriority w:val="99"/>
    <w:semiHidden/>
    <w:unhideWhenUsed/>
    <w:rsid w:val="00567EE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67EEF"/>
    <w:rPr>
      <w:sz w:val="18"/>
      <w:szCs w:val="18"/>
    </w:rPr>
  </w:style>
</w:styles>
</file>

<file path=word/webSettings.xml><?xml version="1.0" encoding="utf-8"?>
<w:webSettings xmlns:r="http://schemas.openxmlformats.org/officeDocument/2006/relationships" xmlns:w="http://schemas.openxmlformats.org/wordprocessingml/2006/main">
  <w:divs>
    <w:div w:id="1282617335">
      <w:bodyDiv w:val="1"/>
      <w:marLeft w:val="0"/>
      <w:marRight w:val="0"/>
      <w:marTop w:val="0"/>
      <w:marBottom w:val="0"/>
      <w:divBdr>
        <w:top w:val="none" w:sz="0" w:space="0" w:color="auto"/>
        <w:left w:val="none" w:sz="0" w:space="0" w:color="auto"/>
        <w:bottom w:val="none" w:sz="0" w:space="0" w:color="auto"/>
        <w:right w:val="none" w:sz="0" w:space="0" w:color="auto"/>
      </w:divBdr>
      <w:divsChild>
        <w:div w:id="1711875230">
          <w:marLeft w:val="0"/>
          <w:marRight w:val="0"/>
          <w:marTop w:val="0"/>
          <w:marBottom w:val="0"/>
          <w:divBdr>
            <w:top w:val="none" w:sz="0" w:space="0" w:color="auto"/>
            <w:left w:val="none" w:sz="0" w:space="0" w:color="auto"/>
            <w:bottom w:val="none" w:sz="0" w:space="0" w:color="auto"/>
            <w:right w:val="none" w:sz="0" w:space="0" w:color="auto"/>
          </w:divBdr>
          <w:divsChild>
            <w:div w:id="1205632912">
              <w:marLeft w:val="0"/>
              <w:marRight w:val="0"/>
              <w:marTop w:val="0"/>
              <w:marBottom w:val="0"/>
              <w:divBdr>
                <w:top w:val="none" w:sz="0" w:space="0" w:color="auto"/>
                <w:left w:val="none" w:sz="0" w:space="0" w:color="auto"/>
                <w:bottom w:val="none" w:sz="0" w:space="0" w:color="auto"/>
                <w:right w:val="none" w:sz="0" w:space="0" w:color="auto"/>
              </w:divBdr>
              <w:divsChild>
                <w:div w:id="153886060">
                  <w:marLeft w:val="0"/>
                  <w:marRight w:val="0"/>
                  <w:marTop w:val="0"/>
                  <w:marBottom w:val="0"/>
                  <w:divBdr>
                    <w:top w:val="none" w:sz="0" w:space="0" w:color="auto"/>
                    <w:left w:val="none" w:sz="0" w:space="0" w:color="auto"/>
                    <w:bottom w:val="none" w:sz="0" w:space="0" w:color="auto"/>
                    <w:right w:val="none" w:sz="0" w:space="0" w:color="auto"/>
                  </w:divBdr>
                  <w:divsChild>
                    <w:div w:id="586351191">
                      <w:marLeft w:val="0"/>
                      <w:marRight w:val="0"/>
                      <w:marTop w:val="0"/>
                      <w:marBottom w:val="0"/>
                      <w:divBdr>
                        <w:top w:val="none" w:sz="0" w:space="0" w:color="auto"/>
                        <w:left w:val="none" w:sz="0" w:space="0" w:color="auto"/>
                        <w:bottom w:val="dashed" w:sz="6" w:space="0" w:color="C1DBE8"/>
                        <w:right w:val="none" w:sz="0" w:space="0" w:color="auto"/>
                      </w:divBdr>
                    </w:div>
                    <w:div w:id="794835138">
                      <w:marLeft w:val="0"/>
                      <w:marRight w:val="0"/>
                      <w:marTop w:val="0"/>
                      <w:marBottom w:val="0"/>
                      <w:divBdr>
                        <w:top w:val="none" w:sz="0" w:space="0" w:color="auto"/>
                        <w:left w:val="none" w:sz="0" w:space="0" w:color="auto"/>
                        <w:bottom w:val="none" w:sz="0" w:space="0" w:color="auto"/>
                        <w:right w:val="none" w:sz="0" w:space="0" w:color="auto"/>
                      </w:divBdr>
                      <w:divsChild>
                        <w:div w:id="153317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475</Words>
  <Characters>2713</Characters>
  <Application>Microsoft Office Word</Application>
  <DocSecurity>0</DocSecurity>
  <Lines>22</Lines>
  <Paragraphs>6</Paragraphs>
  <ScaleCrop>false</ScaleCrop>
  <Company/>
  <LinksUpToDate>false</LinksUpToDate>
  <CharactersWithSpaces>3182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马之遥/htsec</dc:creator>
  <cp:keywords/>
  <dc:description/>
  <cp:lastModifiedBy>马之遥/htsec</cp:lastModifiedBy>
  <cp:revision>2</cp:revision>
  <dcterms:created xsi:type="dcterms:W3CDTF">2016-10-26T09:30:00Z</dcterms:created>
  <dcterms:modified xsi:type="dcterms:W3CDTF">2016-10-26T09:31:00Z</dcterms:modified>
</cp:coreProperties>
</file>