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ED" w:rsidRPr="00C947ED" w:rsidRDefault="00C947ED" w:rsidP="00C947ED">
      <w:pPr>
        <w:widowControl/>
        <w:jc w:val="center"/>
        <w:rPr>
          <w:rFonts w:ascii="Arial" w:eastAsia="宋体" w:hAnsi="Arial" w:cs="Arial"/>
          <w:b/>
          <w:bCs/>
          <w:color w:val="4E4E4E"/>
          <w:kern w:val="0"/>
          <w:sz w:val="30"/>
          <w:szCs w:val="30"/>
        </w:rPr>
      </w:pPr>
      <w:r w:rsidRPr="00C947ED">
        <w:rPr>
          <w:rFonts w:ascii="Arial" w:eastAsia="宋体" w:hAnsi="Arial" w:cs="Arial"/>
          <w:b/>
          <w:bCs/>
          <w:color w:val="4E4E4E"/>
          <w:kern w:val="0"/>
          <w:sz w:val="30"/>
          <w:szCs w:val="30"/>
        </w:rPr>
        <w:t>香港证券市场简介</w:t>
      </w:r>
      <w:r w:rsidRPr="00C947ED">
        <w:rPr>
          <w:rFonts w:ascii="Arial" w:eastAsia="宋体" w:hAnsi="Arial" w:cs="Arial"/>
          <w:b/>
          <w:bCs/>
          <w:color w:val="4E4E4E"/>
          <w:kern w:val="0"/>
          <w:sz w:val="30"/>
          <w:szCs w:val="30"/>
        </w:rPr>
        <w:t xml:space="preserve"> </w:t>
      </w:r>
    </w:p>
    <w:p w:rsidR="00C947ED" w:rsidRPr="00C947ED" w:rsidRDefault="00C947ED" w:rsidP="00C947ED">
      <w:pPr>
        <w:widowControl/>
        <w:jc w:val="center"/>
        <w:rPr>
          <w:rFonts w:ascii="Arial" w:eastAsia="宋体" w:hAnsi="Arial" w:cs="Arial"/>
          <w:color w:val="777777"/>
          <w:kern w:val="0"/>
          <w:sz w:val="18"/>
          <w:szCs w:val="18"/>
        </w:rPr>
      </w:pPr>
      <w:r w:rsidRPr="00C947ED">
        <w:rPr>
          <w:rFonts w:ascii="Arial" w:eastAsia="宋体" w:hAnsi="Arial" w:cs="Arial"/>
          <w:color w:val="777777"/>
          <w:kern w:val="0"/>
          <w:sz w:val="18"/>
          <w:szCs w:val="18"/>
        </w:rPr>
        <w:t>日期：</w:t>
      </w:r>
      <w:r w:rsidRPr="00C947ED">
        <w:rPr>
          <w:rFonts w:ascii="Arial" w:eastAsia="宋体" w:hAnsi="Arial" w:cs="Arial"/>
          <w:color w:val="777777"/>
          <w:kern w:val="0"/>
          <w:sz w:val="18"/>
          <w:szCs w:val="18"/>
        </w:rPr>
        <w:t xml:space="preserve"> 2016-10-27 </w:t>
      </w:r>
    </w:p>
    <w:p w:rsidR="00C947ED" w:rsidRPr="00C947ED" w:rsidRDefault="00C947ED" w:rsidP="00C947ED">
      <w:pPr>
        <w:widowControl/>
        <w:spacing w:line="58" w:lineRule="atLeast"/>
        <w:ind w:firstLineChars="200" w:firstLine="480"/>
        <w:jc w:val="center"/>
        <w:rPr>
          <w:rFonts w:ascii="宋体" w:eastAsia="宋体" w:hAnsi="宋体" w:cs="宋体"/>
          <w:color w:val="2E2E2E"/>
          <w:kern w:val="0"/>
          <w:sz w:val="24"/>
          <w:szCs w:val="24"/>
        </w:rPr>
      </w:pPr>
      <w:r w:rsidRPr="00C947ED">
        <w:rPr>
          <w:rFonts w:ascii="宋体" w:eastAsia="宋体" w:hAnsi="宋体" w:cs="宋体"/>
          <w:color w:val="2E2E2E"/>
          <w:kern w:val="0"/>
          <w:sz w:val="24"/>
          <w:szCs w:val="24"/>
        </w:rPr>
        <w:t> </w:t>
      </w:r>
    </w:p>
    <w:p w:rsidR="00C947ED" w:rsidRPr="00C947ED" w:rsidRDefault="00C947ED" w:rsidP="00C947ED">
      <w:pPr>
        <w:widowControl/>
        <w:spacing w:line="58" w:lineRule="atLeast"/>
        <w:ind w:firstLineChars="200" w:firstLine="360"/>
        <w:jc w:val="center"/>
        <w:rPr>
          <w:rFonts w:ascii="宋体" w:eastAsia="宋体" w:hAnsi="宋体" w:cs="宋体"/>
          <w:color w:val="2E2E2E"/>
          <w:kern w:val="0"/>
          <w:sz w:val="24"/>
          <w:szCs w:val="24"/>
        </w:rPr>
      </w:pPr>
      <w:r w:rsidRPr="00C947ED">
        <w:rPr>
          <w:rFonts w:asciiTheme="minorEastAsia" w:hAnsiTheme="minorEastAsia" w:cs="宋体" w:hint="eastAsia"/>
          <w:color w:val="2E2E2E"/>
          <w:kern w:val="0"/>
          <w:sz w:val="18"/>
          <w:szCs w:val="18"/>
        </w:rPr>
        <w:t>香港交易所</w:t>
      </w:r>
    </w:p>
    <w:p w:rsidR="00C947ED" w:rsidRPr="00C947ED" w:rsidRDefault="00C947ED" w:rsidP="00C947ED">
      <w:pPr>
        <w:widowControl/>
        <w:spacing w:line="58" w:lineRule="atLeast"/>
        <w:ind w:firstLineChars="200" w:firstLine="480"/>
        <w:jc w:val="center"/>
        <w:rPr>
          <w:rFonts w:asciiTheme="minorEastAsia" w:hAnsiTheme="minorEastAsia" w:cs="宋体"/>
          <w:color w:val="2E2E2E"/>
          <w:kern w:val="0"/>
          <w:sz w:val="18"/>
          <w:szCs w:val="18"/>
        </w:rPr>
      </w:pPr>
      <w:r w:rsidRPr="00C947ED">
        <w:rPr>
          <w:rFonts w:ascii="宋体" w:eastAsia="宋体" w:hAnsi="宋体" w:cs="宋体"/>
          <w:color w:val="2E2E2E"/>
          <w:kern w:val="0"/>
          <w:sz w:val="24"/>
          <w:szCs w:val="24"/>
        </w:rPr>
        <w:t> </w:t>
      </w:r>
    </w:p>
    <w:p w:rsidR="00C947ED" w:rsidRPr="00C947ED" w:rsidRDefault="00C947ED" w:rsidP="00C947ED">
      <w:pPr>
        <w:widowControl/>
        <w:spacing w:line="58" w:lineRule="atLeast"/>
        <w:ind w:firstLineChars="200" w:firstLine="361"/>
        <w:jc w:val="left"/>
        <w:rPr>
          <w:rFonts w:asciiTheme="minorEastAsia" w:hAnsiTheme="minorEastAsia" w:cs="宋体" w:hint="eastAsia"/>
          <w:b/>
          <w:color w:val="2E2E2E"/>
          <w:kern w:val="0"/>
          <w:sz w:val="18"/>
          <w:szCs w:val="18"/>
        </w:rPr>
      </w:pPr>
      <w:r w:rsidRPr="00C947ED">
        <w:rPr>
          <w:rFonts w:asciiTheme="minorEastAsia" w:hAnsiTheme="minorEastAsia" w:cs="宋体" w:hint="eastAsia"/>
          <w:b/>
          <w:color w:val="2E2E2E"/>
          <w:kern w:val="0"/>
          <w:sz w:val="18"/>
          <w:szCs w:val="18"/>
        </w:rPr>
        <w:tab/>
        <w:t>一、发展历程</w:t>
      </w:r>
    </w:p>
    <w:p w:rsidR="00C947ED" w:rsidRPr="00C947ED" w:rsidRDefault="00C947ED" w:rsidP="00C947ED">
      <w:pPr>
        <w:widowControl/>
        <w:spacing w:line="58" w:lineRule="atLeast"/>
        <w:ind w:firstLineChars="200" w:firstLine="360"/>
        <w:jc w:val="left"/>
        <w:rPr>
          <w:rFonts w:asciiTheme="minorEastAsia" w:hAnsiTheme="minorEastAsia" w:cs="宋体" w:hint="eastAsia"/>
          <w:color w:val="2E2E2E"/>
          <w:kern w:val="0"/>
          <w:sz w:val="18"/>
          <w:szCs w:val="18"/>
        </w:rPr>
      </w:pPr>
      <w:r w:rsidRPr="00C947ED">
        <w:rPr>
          <w:rFonts w:asciiTheme="minorEastAsia" w:hAnsiTheme="minorEastAsia" w:cs="宋体" w:hint="eastAsia"/>
          <w:color w:val="2E2E2E"/>
          <w:kern w:val="0"/>
          <w:sz w:val="18"/>
          <w:szCs w:val="18"/>
        </w:rPr>
        <w:t>香港的证券交易最早见于19世纪中叶。到1891年香港经纪协会成立时，香港始有正式的证券交易市场。该会于1914年易名为香港经纪商会。香港第二间交易所——香港股份商会于1921年注册成立。两所于1947年合并成为香港证券交易所，并合力重建二次大战后的香港股市。此后，香港经济快速发展，促成另外三家交易所的成立——1969年的远东交易所、1971年的金银证券交易所以及1972年的九龙证券交易所。</w:t>
      </w:r>
    </w:p>
    <w:p w:rsidR="00C947ED" w:rsidRPr="00C947ED" w:rsidRDefault="00C947ED" w:rsidP="00C947ED">
      <w:pPr>
        <w:widowControl/>
        <w:spacing w:line="58" w:lineRule="atLeast"/>
        <w:ind w:firstLineChars="200" w:firstLine="360"/>
        <w:jc w:val="left"/>
        <w:rPr>
          <w:rFonts w:asciiTheme="minorEastAsia" w:hAnsiTheme="minorEastAsia" w:cs="宋体" w:hint="eastAsia"/>
          <w:color w:val="2E2E2E"/>
          <w:kern w:val="0"/>
          <w:sz w:val="18"/>
          <w:szCs w:val="18"/>
        </w:rPr>
      </w:pPr>
      <w:r w:rsidRPr="00C947ED">
        <w:rPr>
          <w:rFonts w:asciiTheme="minorEastAsia" w:hAnsiTheme="minorEastAsia" w:cs="宋体" w:hint="eastAsia"/>
          <w:color w:val="2E2E2E"/>
          <w:kern w:val="0"/>
          <w:sz w:val="18"/>
          <w:szCs w:val="18"/>
        </w:rPr>
        <w:t>在加强市场监管和合并四所的压力下，四所时代于1986年3月27日划上历史句号，香港联合交易所有限公司（联交所）在1980年注册成立并于1986年4月2日开始运作。联交所与香港期货交易所（期交所）于2000年前实行股份化，于2000年3月6日与香港中央结算有限公司（香港结算）合并于单一控股公司香港交易及结算所有限公司（香港交易所）旗下，并在同年6月27日以介绍方式在联交所上市，成为世界首批上市的交易所集团之一。</w:t>
      </w:r>
    </w:p>
    <w:p w:rsidR="00C947ED" w:rsidRPr="00C947ED" w:rsidRDefault="00C947ED" w:rsidP="00C947ED">
      <w:pPr>
        <w:widowControl/>
        <w:spacing w:line="58" w:lineRule="atLeast"/>
        <w:ind w:firstLineChars="200" w:firstLine="360"/>
        <w:jc w:val="left"/>
        <w:rPr>
          <w:rFonts w:asciiTheme="minorEastAsia" w:hAnsiTheme="minorEastAsia" w:cs="宋体" w:hint="eastAsia"/>
          <w:color w:val="2E2E2E"/>
          <w:kern w:val="0"/>
          <w:sz w:val="18"/>
          <w:szCs w:val="18"/>
        </w:rPr>
      </w:pPr>
      <w:r w:rsidRPr="00C947ED">
        <w:rPr>
          <w:rFonts w:asciiTheme="minorEastAsia" w:hAnsiTheme="minorEastAsia" w:cs="宋体" w:hint="eastAsia"/>
          <w:color w:val="2E2E2E"/>
          <w:kern w:val="0"/>
          <w:sz w:val="18"/>
          <w:szCs w:val="18"/>
        </w:rPr>
        <w:t>香港交易所集团经营证券和衍生产品以及相关的交易及结算服务，上市证券品种丰富，包括现货、期货和期权交易等市场，也是香港上市公司的前线监管机构。集团的全资子公司还包括全资控股的国际性金属交易所 - 伦敦金属交易所（London Metal Exchange，LME）。</w:t>
      </w:r>
    </w:p>
    <w:p w:rsidR="00C947ED" w:rsidRPr="00C947ED" w:rsidRDefault="00C947ED" w:rsidP="00C947ED">
      <w:pPr>
        <w:widowControl/>
        <w:spacing w:line="58" w:lineRule="atLeast"/>
        <w:ind w:firstLineChars="200" w:firstLine="360"/>
        <w:rPr>
          <w:rFonts w:asciiTheme="minorEastAsia" w:hAnsiTheme="minorEastAsia" w:cs="Arial" w:hint="eastAsia"/>
          <w:color w:val="2E2E2E"/>
          <w:kern w:val="0"/>
          <w:sz w:val="18"/>
          <w:szCs w:val="18"/>
        </w:rPr>
      </w:pPr>
      <w:r w:rsidRPr="00C947ED">
        <w:rPr>
          <w:rFonts w:asciiTheme="minorEastAsia" w:hAnsiTheme="minorEastAsia" w:cs="Arial" w:hint="eastAsia"/>
          <w:color w:val="2E2E2E"/>
          <w:kern w:val="0"/>
          <w:sz w:val="18"/>
          <w:szCs w:val="18"/>
        </w:rPr>
        <w:t>（如欲了解更多香港证券市场发展历程，请登录港交所网站</w:t>
      </w:r>
      <w:r w:rsidRPr="00C947ED">
        <w:rPr>
          <w:rFonts w:asciiTheme="minorEastAsia" w:hAnsiTheme="minorEastAsia" w:cs="Arial" w:hint="eastAsia"/>
          <w:color w:val="2E2E2E"/>
          <w:kern w:val="0"/>
          <w:sz w:val="18"/>
          <w:szCs w:val="18"/>
          <w:lang w:eastAsia="zh-HK"/>
        </w:rPr>
        <w:t>www.hkexgroup.com</w:t>
      </w:r>
      <w:r w:rsidRPr="00C947ED">
        <w:rPr>
          <w:rFonts w:asciiTheme="minorEastAsia" w:hAnsiTheme="minorEastAsia" w:cs="Arial" w:hint="eastAsia"/>
          <w:color w:val="2E2E2E"/>
          <w:kern w:val="0"/>
          <w:sz w:val="18"/>
          <w:szCs w:val="18"/>
        </w:rPr>
        <w:t>，查询“关于我们”栏目。）</w:t>
      </w:r>
    </w:p>
    <w:p w:rsidR="00C947ED" w:rsidRPr="00C947ED" w:rsidRDefault="00C947ED" w:rsidP="00C947ED">
      <w:pPr>
        <w:widowControl/>
        <w:spacing w:line="58" w:lineRule="atLeast"/>
        <w:ind w:firstLineChars="200" w:firstLine="361"/>
        <w:jc w:val="left"/>
        <w:rPr>
          <w:rFonts w:asciiTheme="minorEastAsia" w:hAnsiTheme="minorEastAsia" w:cs="宋体" w:hint="eastAsia"/>
          <w:b/>
          <w:color w:val="2E2E2E"/>
          <w:kern w:val="0"/>
          <w:sz w:val="18"/>
          <w:szCs w:val="18"/>
        </w:rPr>
      </w:pPr>
      <w:r w:rsidRPr="00C947ED">
        <w:rPr>
          <w:rFonts w:asciiTheme="minorEastAsia" w:hAnsiTheme="minorEastAsia" w:cs="宋体" w:hint="eastAsia"/>
          <w:b/>
          <w:color w:val="2E2E2E"/>
          <w:kern w:val="0"/>
          <w:sz w:val="18"/>
          <w:szCs w:val="18"/>
        </w:rPr>
        <w:tab/>
        <w:t>二、市场概况</w:t>
      </w:r>
    </w:p>
    <w:p w:rsidR="00C947ED" w:rsidRPr="00C947ED" w:rsidRDefault="00C947ED" w:rsidP="00C947ED">
      <w:pPr>
        <w:widowControl/>
        <w:spacing w:line="58" w:lineRule="atLeast"/>
        <w:ind w:firstLineChars="200" w:firstLine="361"/>
        <w:jc w:val="left"/>
        <w:rPr>
          <w:rFonts w:asciiTheme="minorEastAsia" w:hAnsiTheme="minorEastAsia" w:cs="宋体" w:hint="eastAsia"/>
          <w:color w:val="2E2E2E"/>
          <w:kern w:val="0"/>
          <w:sz w:val="18"/>
          <w:szCs w:val="18"/>
        </w:rPr>
      </w:pPr>
      <w:r w:rsidRPr="00C947ED">
        <w:rPr>
          <w:rFonts w:asciiTheme="minorEastAsia" w:hAnsiTheme="minorEastAsia" w:cs="宋体" w:hint="eastAsia"/>
          <w:b/>
          <w:color w:val="2E2E2E"/>
          <w:kern w:val="0"/>
          <w:sz w:val="18"/>
          <w:szCs w:val="18"/>
        </w:rPr>
        <w:tab/>
      </w:r>
      <w:r w:rsidRPr="00C947ED">
        <w:rPr>
          <w:rFonts w:asciiTheme="minorEastAsia" w:hAnsiTheme="minorEastAsia" w:cs="宋体" w:hint="eastAsia"/>
          <w:color w:val="2E2E2E"/>
          <w:kern w:val="0"/>
          <w:sz w:val="18"/>
          <w:szCs w:val="18"/>
        </w:rPr>
        <w:t>香港证券市场是全球重要的证券市场之一。截至2016年6月30日，港股总市值约23万亿港币，全球排名第8位,日均成交额约657亿港币。香港上市公司共有1902家（包括主板和创业板）。在香港上市的中国内地企业966家（包括152家红筹公司、231家H股公司及583家民营企业），上市公司总数占比达到51%，总市值及成交金额约占整体市场的70%。</w:t>
      </w:r>
    </w:p>
    <w:p w:rsidR="00C947ED" w:rsidRPr="00C947ED" w:rsidRDefault="00C947ED" w:rsidP="00C947ED">
      <w:pPr>
        <w:widowControl/>
        <w:spacing w:line="58" w:lineRule="atLeast"/>
        <w:ind w:firstLineChars="200" w:firstLine="400"/>
        <w:rPr>
          <w:rFonts w:asciiTheme="minorEastAsia" w:hAnsiTheme="minorEastAsia" w:cs="Arial" w:hint="eastAsia"/>
          <w:color w:val="2E2E2E"/>
          <w:kern w:val="0"/>
          <w:sz w:val="18"/>
          <w:szCs w:val="18"/>
        </w:rPr>
      </w:pPr>
      <w:r w:rsidRPr="00C947ED">
        <w:rPr>
          <w:rFonts w:ascii="Wingdings" w:eastAsia="Wingdings" w:hAnsi="Wingdings" w:cs="Wingdings"/>
          <w:color w:val="2E2E2E"/>
          <w:kern w:val="0"/>
          <w:sz w:val="20"/>
          <w:szCs w:val="20"/>
        </w:rPr>
        <w:t></w:t>
      </w:r>
      <w:r w:rsidRPr="00C947ED">
        <w:rPr>
          <w:rFonts w:ascii="Times New Roman" w:eastAsia="Wingdings" w:hAnsi="Times New Roman" w:cs="Times New Roman"/>
          <w:color w:val="2E2E2E"/>
          <w:kern w:val="0"/>
          <w:sz w:val="14"/>
          <w:szCs w:val="14"/>
        </w:rPr>
        <w:t xml:space="preserve">   </w:t>
      </w:r>
      <w:r w:rsidRPr="00C947ED">
        <w:rPr>
          <w:rFonts w:asciiTheme="minorEastAsia" w:hAnsiTheme="minorEastAsia" w:cs="Arial" w:hint="eastAsia"/>
          <w:color w:val="2E2E2E"/>
          <w:kern w:val="0"/>
          <w:sz w:val="18"/>
          <w:szCs w:val="18"/>
        </w:rPr>
        <w:t xml:space="preserve">红筹公司：一般指在海外注册，经国资委/发改委批准注入国有资产的上市公司。 </w:t>
      </w:r>
    </w:p>
    <w:p w:rsidR="00C947ED" w:rsidRPr="00C947ED" w:rsidRDefault="00C947ED" w:rsidP="00C947ED">
      <w:pPr>
        <w:widowControl/>
        <w:spacing w:line="58" w:lineRule="atLeast"/>
        <w:ind w:firstLineChars="200" w:firstLine="400"/>
        <w:rPr>
          <w:rFonts w:asciiTheme="minorEastAsia" w:hAnsiTheme="minorEastAsia" w:cs="Arial" w:hint="eastAsia"/>
          <w:color w:val="2E2E2E"/>
          <w:kern w:val="0"/>
          <w:sz w:val="18"/>
          <w:szCs w:val="18"/>
        </w:rPr>
      </w:pPr>
      <w:r w:rsidRPr="00C947ED">
        <w:rPr>
          <w:rFonts w:ascii="Wingdings" w:eastAsia="Wingdings" w:hAnsi="Wingdings" w:cs="Wingdings"/>
          <w:color w:val="2E2E2E"/>
          <w:kern w:val="0"/>
          <w:sz w:val="20"/>
          <w:szCs w:val="20"/>
        </w:rPr>
        <w:t></w:t>
      </w:r>
      <w:r w:rsidRPr="00C947ED">
        <w:rPr>
          <w:rFonts w:ascii="Times New Roman" w:eastAsia="Wingdings" w:hAnsi="Times New Roman" w:cs="Times New Roman"/>
          <w:color w:val="2E2E2E"/>
          <w:kern w:val="0"/>
          <w:sz w:val="14"/>
          <w:szCs w:val="14"/>
        </w:rPr>
        <w:t xml:space="preserve">   </w:t>
      </w:r>
      <w:r w:rsidRPr="00C947ED">
        <w:rPr>
          <w:rFonts w:asciiTheme="minorEastAsia" w:hAnsiTheme="minorEastAsia" w:cs="Arial" w:hint="eastAsia"/>
          <w:color w:val="2E2E2E"/>
          <w:kern w:val="0"/>
          <w:sz w:val="18"/>
          <w:szCs w:val="18"/>
        </w:rPr>
        <w:t>H股公司：指在中华人民共和国境内注册成立并获得中国证券监督管理委员会批准到港上市的公司。</w:t>
      </w:r>
    </w:p>
    <w:p w:rsidR="00C947ED" w:rsidRPr="00C947ED" w:rsidRDefault="00C947ED" w:rsidP="00C947ED">
      <w:pPr>
        <w:widowControl/>
        <w:spacing w:line="58" w:lineRule="atLeast"/>
        <w:ind w:firstLineChars="200" w:firstLine="400"/>
        <w:rPr>
          <w:rFonts w:asciiTheme="minorEastAsia" w:hAnsiTheme="minorEastAsia" w:cs="Arial" w:hint="eastAsia"/>
          <w:color w:val="2E2E2E"/>
          <w:kern w:val="0"/>
          <w:sz w:val="18"/>
          <w:szCs w:val="18"/>
        </w:rPr>
      </w:pPr>
      <w:r w:rsidRPr="00C947ED">
        <w:rPr>
          <w:rFonts w:ascii="Wingdings" w:eastAsia="Wingdings" w:hAnsi="Wingdings" w:cs="Wingdings"/>
          <w:color w:val="2E2E2E"/>
          <w:kern w:val="0"/>
          <w:sz w:val="20"/>
          <w:szCs w:val="20"/>
        </w:rPr>
        <w:t></w:t>
      </w:r>
      <w:r w:rsidRPr="00C947ED">
        <w:rPr>
          <w:rFonts w:ascii="Times New Roman" w:eastAsia="Wingdings" w:hAnsi="Times New Roman" w:cs="Times New Roman"/>
          <w:color w:val="2E2E2E"/>
          <w:kern w:val="0"/>
          <w:sz w:val="14"/>
          <w:szCs w:val="14"/>
        </w:rPr>
        <w:t xml:space="preserve">   </w:t>
      </w:r>
      <w:r w:rsidRPr="00C947ED">
        <w:rPr>
          <w:rFonts w:asciiTheme="minorEastAsia" w:hAnsiTheme="minorEastAsia" w:cs="Arial" w:hint="eastAsia"/>
          <w:color w:val="2E2E2E"/>
          <w:kern w:val="0"/>
          <w:sz w:val="18"/>
          <w:szCs w:val="18"/>
        </w:rPr>
        <w:t>民营企业：泛指境内民营企业。很多通过股东在境外注册离岸公司，该离岸公司以现金收购或换股方式取得境内企业原股东持有的全部股权，以境外公司作为上市公司主体在香港实现上市。</w:t>
      </w:r>
    </w:p>
    <w:p w:rsidR="00C947ED" w:rsidRPr="00C947ED" w:rsidRDefault="00C947ED" w:rsidP="00C947ED">
      <w:pPr>
        <w:widowControl/>
        <w:spacing w:line="58" w:lineRule="atLeast"/>
        <w:ind w:firstLineChars="200" w:firstLine="360"/>
        <w:jc w:val="center"/>
        <w:rPr>
          <w:rFonts w:asciiTheme="minorEastAsia" w:hAnsiTheme="minorEastAsia" w:cs="宋体" w:hint="eastAsia"/>
          <w:color w:val="2E2E2E"/>
          <w:kern w:val="0"/>
          <w:sz w:val="18"/>
          <w:szCs w:val="18"/>
        </w:rPr>
      </w:pPr>
      <w:r w:rsidRPr="00C947ED">
        <w:rPr>
          <w:rFonts w:asciiTheme="minorEastAsia" w:hAnsiTheme="minorEastAsia" w:cs="宋体" w:hint="eastAsia"/>
          <w:color w:val="2E2E2E"/>
          <w:kern w:val="0"/>
          <w:sz w:val="18"/>
          <w:szCs w:val="18"/>
        </w:rPr>
        <w:t>表1：</w:t>
      </w:r>
      <w:r w:rsidRPr="00C947ED">
        <w:rPr>
          <w:rFonts w:asciiTheme="minorEastAsia" w:hAnsiTheme="minorEastAsia" w:cs="FZZDXJW--GB1-0" w:hint="eastAsia"/>
          <w:color w:val="231815"/>
          <w:kern w:val="0"/>
          <w:sz w:val="18"/>
          <w:szCs w:val="18"/>
        </w:rPr>
        <w:t>香港本地股/外资股和中资股概览（</w:t>
      </w:r>
      <w:r w:rsidRPr="00C947ED">
        <w:rPr>
          <w:rFonts w:asciiTheme="minorEastAsia" w:hAnsiTheme="minorEastAsia" w:cs="宋体" w:hint="eastAsia"/>
          <w:color w:val="2E2E2E"/>
          <w:kern w:val="0"/>
          <w:sz w:val="18"/>
          <w:szCs w:val="18"/>
        </w:rPr>
        <w:t>截至2016年6月30日</w:t>
      </w:r>
      <w:r w:rsidRPr="00C947ED">
        <w:rPr>
          <w:rFonts w:asciiTheme="minorEastAsia" w:hAnsiTheme="minorEastAsia" w:cs="FZZDXJW--GB1-0" w:hint="eastAsia"/>
          <w:color w:val="231815"/>
          <w:kern w:val="0"/>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1649"/>
        <w:gridCol w:w="1650"/>
        <w:gridCol w:w="1384"/>
        <w:gridCol w:w="1862"/>
      </w:tblGrid>
      <w:tr w:rsidR="00C947ED" w:rsidRPr="00C947ED" w:rsidTr="00C947ED">
        <w:trPr>
          <w:jc w:val="center"/>
        </w:trPr>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1"/>
              <w:jc w:val="center"/>
              <w:rPr>
                <w:rFonts w:asciiTheme="minorEastAsia" w:hAnsiTheme="minorEastAsia" w:cs="Arial"/>
                <w:b/>
                <w:color w:val="2E2E2E"/>
                <w:kern w:val="0"/>
                <w:sz w:val="18"/>
                <w:szCs w:val="18"/>
              </w:rPr>
            </w:pPr>
            <w:r w:rsidRPr="00C947ED">
              <w:rPr>
                <w:rFonts w:asciiTheme="minorEastAsia" w:hAnsiTheme="minorEastAsia" w:cs="FZZDXJW--GB1-0" w:hint="eastAsia"/>
                <w:b/>
                <w:color w:val="040000"/>
                <w:kern w:val="0"/>
                <w:sz w:val="18"/>
                <w:szCs w:val="18"/>
                <w:lang w:eastAsia="zh-TW"/>
              </w:rPr>
              <w:t>地域</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1"/>
              <w:jc w:val="center"/>
              <w:rPr>
                <w:rFonts w:asciiTheme="minorEastAsia" w:hAnsiTheme="minorEastAsia" w:cs="Arial"/>
                <w:b/>
                <w:color w:val="2E2E2E"/>
                <w:kern w:val="0"/>
                <w:sz w:val="18"/>
                <w:szCs w:val="18"/>
              </w:rPr>
            </w:pPr>
            <w:r w:rsidRPr="00C947ED">
              <w:rPr>
                <w:rFonts w:asciiTheme="minorEastAsia" w:hAnsiTheme="minorEastAsia" w:cs="FZZDXJW--GB1-0" w:hint="eastAsia"/>
                <w:b/>
                <w:color w:val="040000"/>
                <w:kern w:val="0"/>
                <w:sz w:val="18"/>
                <w:szCs w:val="18"/>
                <w:lang w:eastAsia="zh-TW"/>
              </w:rPr>
              <w:t>企业数</w:t>
            </w:r>
            <w:r w:rsidRPr="00C947ED">
              <w:rPr>
                <w:rFonts w:asciiTheme="minorEastAsia" w:hAnsiTheme="minorEastAsia" w:cs="FZZDXJW--GB1-0" w:hint="eastAsia"/>
                <w:b/>
                <w:color w:val="040000"/>
                <w:kern w:val="0"/>
                <w:sz w:val="18"/>
                <w:szCs w:val="18"/>
              </w:rPr>
              <w:t>量</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1"/>
              <w:jc w:val="center"/>
              <w:rPr>
                <w:rFonts w:asciiTheme="minorEastAsia" w:hAnsiTheme="minorEastAsia" w:cs="Arial"/>
                <w:b/>
                <w:color w:val="2E2E2E"/>
                <w:kern w:val="0"/>
                <w:sz w:val="18"/>
                <w:szCs w:val="18"/>
              </w:rPr>
            </w:pPr>
            <w:r w:rsidRPr="00C947ED">
              <w:rPr>
                <w:rFonts w:asciiTheme="minorEastAsia" w:hAnsiTheme="minorEastAsia" w:cs="FZZDXJW--GB1-0" w:hint="eastAsia"/>
                <w:b/>
                <w:color w:val="040000"/>
                <w:kern w:val="0"/>
                <w:sz w:val="18"/>
                <w:szCs w:val="18"/>
                <w:lang w:eastAsia="zh-TW"/>
              </w:rPr>
              <w:t>企业量占比</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1"/>
              <w:jc w:val="center"/>
              <w:rPr>
                <w:rFonts w:asciiTheme="minorEastAsia" w:hAnsiTheme="minorEastAsia" w:cs="Arial"/>
                <w:b/>
                <w:color w:val="2E2E2E"/>
                <w:kern w:val="0"/>
                <w:sz w:val="18"/>
                <w:szCs w:val="18"/>
              </w:rPr>
            </w:pPr>
            <w:r w:rsidRPr="00C947ED">
              <w:rPr>
                <w:rFonts w:asciiTheme="minorEastAsia" w:hAnsiTheme="minorEastAsia" w:cs="FZZDXJW--GB1-0" w:hint="eastAsia"/>
                <w:b/>
                <w:color w:val="040000"/>
                <w:kern w:val="0"/>
                <w:sz w:val="18"/>
                <w:szCs w:val="18"/>
                <w:lang w:eastAsia="zh-TW"/>
              </w:rPr>
              <w:t>市值占比</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1"/>
              <w:jc w:val="center"/>
              <w:rPr>
                <w:rFonts w:asciiTheme="minorEastAsia" w:hAnsiTheme="minorEastAsia" w:cs="Arial"/>
                <w:b/>
                <w:color w:val="2E2E2E"/>
                <w:kern w:val="0"/>
                <w:sz w:val="18"/>
                <w:szCs w:val="18"/>
              </w:rPr>
            </w:pPr>
            <w:r w:rsidRPr="00C947ED">
              <w:rPr>
                <w:rFonts w:asciiTheme="minorEastAsia" w:hAnsiTheme="minorEastAsia" w:cs="Arial" w:hint="eastAsia"/>
                <w:b/>
                <w:color w:val="2E2E2E"/>
                <w:kern w:val="0"/>
                <w:sz w:val="18"/>
                <w:szCs w:val="18"/>
              </w:rPr>
              <w:t>股票</w:t>
            </w:r>
            <w:r w:rsidRPr="00C947ED">
              <w:rPr>
                <w:rFonts w:asciiTheme="minorEastAsia" w:hAnsiTheme="minorEastAsia" w:cs="FZZDXJW--GB1-0" w:hint="eastAsia"/>
                <w:b/>
                <w:color w:val="040000"/>
                <w:kern w:val="0"/>
                <w:sz w:val="18"/>
                <w:szCs w:val="18"/>
                <w:lang w:eastAsia="zh-TW"/>
              </w:rPr>
              <w:t>交易额占比</w:t>
            </w:r>
          </w:p>
        </w:tc>
      </w:tr>
      <w:tr w:rsidR="00C947ED" w:rsidRPr="00C947ED" w:rsidTr="00C947ED">
        <w:trPr>
          <w:jc w:val="center"/>
        </w:trPr>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0"/>
              <w:jc w:val="center"/>
              <w:rPr>
                <w:rFonts w:asciiTheme="minorEastAsia" w:hAnsiTheme="minorEastAsia" w:cs="Arial"/>
                <w:color w:val="2E2E2E"/>
                <w:kern w:val="0"/>
                <w:sz w:val="18"/>
                <w:szCs w:val="18"/>
              </w:rPr>
            </w:pPr>
            <w:r w:rsidRPr="00C947ED">
              <w:rPr>
                <w:rFonts w:asciiTheme="minorEastAsia" w:hAnsiTheme="minorEastAsia" w:cs="FZZDXJW--GB1-0" w:hint="eastAsia"/>
                <w:color w:val="231815"/>
                <w:kern w:val="0"/>
                <w:sz w:val="18"/>
                <w:szCs w:val="18"/>
                <w:lang w:eastAsia="zh-TW"/>
              </w:rPr>
              <w:t>香港本地股</w:t>
            </w:r>
            <w:r w:rsidRPr="00C947ED">
              <w:rPr>
                <w:rFonts w:asciiTheme="minorEastAsia" w:hAnsiTheme="minorEastAsia" w:cs="FZZDXJW--GB1-0" w:hint="eastAsia"/>
                <w:color w:val="231815"/>
                <w:kern w:val="0"/>
                <w:sz w:val="18"/>
                <w:szCs w:val="18"/>
              </w:rPr>
              <w:t>/</w:t>
            </w:r>
            <w:r w:rsidRPr="00C947ED">
              <w:rPr>
                <w:rFonts w:asciiTheme="minorEastAsia" w:hAnsiTheme="minorEastAsia" w:cs="FZZDXJW--GB1-0" w:hint="eastAsia"/>
                <w:color w:val="231815"/>
                <w:kern w:val="0"/>
                <w:sz w:val="18"/>
                <w:szCs w:val="18"/>
                <w:lang w:eastAsia="zh-TW"/>
              </w:rPr>
              <w:t>外资股</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0"/>
              <w:jc w:val="center"/>
              <w:rPr>
                <w:rFonts w:asciiTheme="minorEastAsia" w:hAnsiTheme="minorEastAsia" w:cs="Arial"/>
                <w:color w:val="2E2E2E"/>
                <w:kern w:val="0"/>
                <w:sz w:val="18"/>
                <w:szCs w:val="18"/>
              </w:rPr>
            </w:pPr>
            <w:r w:rsidRPr="00C947ED">
              <w:rPr>
                <w:rFonts w:asciiTheme="minorEastAsia" w:hAnsiTheme="minorEastAsia" w:cs="Arial" w:hint="eastAsia"/>
                <w:color w:val="2E2E2E"/>
                <w:kern w:val="0"/>
                <w:sz w:val="18"/>
                <w:szCs w:val="18"/>
              </w:rPr>
              <w:t>936支</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0"/>
              <w:jc w:val="center"/>
              <w:rPr>
                <w:rFonts w:asciiTheme="minorEastAsia" w:hAnsiTheme="minorEastAsia" w:cs="Arial"/>
                <w:color w:val="2E2E2E"/>
                <w:kern w:val="0"/>
                <w:sz w:val="18"/>
                <w:szCs w:val="18"/>
              </w:rPr>
            </w:pPr>
            <w:r w:rsidRPr="00C947ED">
              <w:rPr>
                <w:rFonts w:asciiTheme="minorEastAsia" w:hAnsiTheme="minorEastAsia" w:cs="Arial" w:hint="eastAsia"/>
                <w:color w:val="2E2E2E"/>
                <w:kern w:val="0"/>
                <w:sz w:val="18"/>
                <w:szCs w:val="18"/>
              </w:rPr>
              <w:t>49%</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0"/>
              <w:jc w:val="center"/>
              <w:rPr>
                <w:rFonts w:asciiTheme="minorEastAsia" w:hAnsiTheme="minorEastAsia" w:cs="Arial"/>
                <w:color w:val="2E2E2E"/>
                <w:kern w:val="0"/>
                <w:sz w:val="18"/>
                <w:szCs w:val="18"/>
              </w:rPr>
            </w:pPr>
            <w:r w:rsidRPr="00C947ED">
              <w:rPr>
                <w:rFonts w:asciiTheme="minorEastAsia" w:hAnsiTheme="minorEastAsia" w:cs="Arial" w:hint="eastAsia"/>
                <w:color w:val="2E2E2E"/>
                <w:kern w:val="0"/>
                <w:sz w:val="18"/>
                <w:szCs w:val="18"/>
              </w:rPr>
              <w:t>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0"/>
              <w:jc w:val="center"/>
              <w:rPr>
                <w:rFonts w:asciiTheme="minorEastAsia" w:hAnsiTheme="minorEastAsia" w:cs="Arial"/>
                <w:color w:val="2E2E2E"/>
                <w:kern w:val="0"/>
                <w:sz w:val="18"/>
                <w:szCs w:val="18"/>
              </w:rPr>
            </w:pPr>
            <w:r w:rsidRPr="00C947ED">
              <w:rPr>
                <w:rFonts w:asciiTheme="minorEastAsia" w:hAnsiTheme="minorEastAsia" w:cs="Arial" w:hint="eastAsia"/>
                <w:color w:val="2E2E2E"/>
                <w:kern w:val="0"/>
                <w:sz w:val="18"/>
                <w:szCs w:val="18"/>
              </w:rPr>
              <w:t>30%</w:t>
            </w:r>
          </w:p>
        </w:tc>
      </w:tr>
      <w:tr w:rsidR="00C947ED" w:rsidRPr="00C947ED" w:rsidTr="00C947ED">
        <w:trPr>
          <w:jc w:val="center"/>
        </w:trPr>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0"/>
              <w:jc w:val="center"/>
              <w:rPr>
                <w:rFonts w:asciiTheme="minorEastAsia" w:hAnsiTheme="minorEastAsia" w:cs="Arial"/>
                <w:color w:val="2E2E2E"/>
                <w:kern w:val="0"/>
                <w:sz w:val="18"/>
                <w:szCs w:val="18"/>
              </w:rPr>
            </w:pPr>
            <w:r w:rsidRPr="00C947ED">
              <w:rPr>
                <w:rFonts w:asciiTheme="minorEastAsia" w:hAnsiTheme="minorEastAsia" w:cs="FZZDXJW--GB1-0" w:hint="eastAsia"/>
                <w:color w:val="231815"/>
                <w:kern w:val="0"/>
                <w:sz w:val="18"/>
                <w:szCs w:val="18"/>
                <w:lang w:eastAsia="zh-TW"/>
              </w:rPr>
              <w:t>中资</w:t>
            </w:r>
            <w:r w:rsidRPr="00C947ED">
              <w:rPr>
                <w:rFonts w:asciiTheme="minorEastAsia" w:hAnsiTheme="minorEastAsia" w:cs="FZZDXJW--GB1-0" w:hint="eastAsia"/>
                <w:color w:val="231815"/>
                <w:kern w:val="0"/>
                <w:sz w:val="18"/>
                <w:szCs w:val="18"/>
              </w:rPr>
              <w:t>股</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0"/>
              <w:jc w:val="center"/>
              <w:rPr>
                <w:rFonts w:asciiTheme="minorEastAsia" w:hAnsiTheme="minorEastAsia" w:cs="Arial"/>
                <w:color w:val="2E2E2E"/>
                <w:kern w:val="0"/>
                <w:sz w:val="18"/>
                <w:szCs w:val="18"/>
              </w:rPr>
            </w:pPr>
            <w:r w:rsidRPr="00C947ED">
              <w:rPr>
                <w:rFonts w:asciiTheme="minorEastAsia" w:hAnsiTheme="minorEastAsia" w:cs="Arial" w:hint="eastAsia"/>
                <w:color w:val="2E2E2E"/>
                <w:kern w:val="0"/>
                <w:sz w:val="18"/>
                <w:szCs w:val="18"/>
              </w:rPr>
              <w:t>966支</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0"/>
              <w:jc w:val="center"/>
              <w:rPr>
                <w:rFonts w:asciiTheme="minorEastAsia" w:hAnsiTheme="minorEastAsia" w:cs="Arial"/>
                <w:color w:val="2E2E2E"/>
                <w:kern w:val="0"/>
                <w:sz w:val="18"/>
                <w:szCs w:val="18"/>
              </w:rPr>
            </w:pPr>
            <w:r w:rsidRPr="00C947ED">
              <w:rPr>
                <w:rFonts w:asciiTheme="minorEastAsia" w:hAnsiTheme="minorEastAsia" w:cs="Arial" w:hint="eastAsia"/>
                <w:color w:val="2E2E2E"/>
                <w:kern w:val="0"/>
                <w:sz w:val="18"/>
                <w:szCs w:val="18"/>
              </w:rPr>
              <w:t>51%</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0"/>
              <w:jc w:val="center"/>
              <w:rPr>
                <w:rFonts w:asciiTheme="minorEastAsia" w:hAnsiTheme="minorEastAsia" w:cs="Arial"/>
                <w:color w:val="2E2E2E"/>
                <w:kern w:val="0"/>
                <w:sz w:val="18"/>
                <w:szCs w:val="18"/>
              </w:rPr>
            </w:pPr>
            <w:r w:rsidRPr="00C947ED">
              <w:rPr>
                <w:rFonts w:asciiTheme="minorEastAsia" w:hAnsiTheme="minorEastAsia" w:cs="Arial" w:hint="eastAsia"/>
                <w:color w:val="2E2E2E"/>
                <w:kern w:val="0"/>
                <w:sz w:val="18"/>
                <w:szCs w:val="18"/>
              </w:rPr>
              <w:t>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0"/>
              <w:jc w:val="center"/>
              <w:rPr>
                <w:rFonts w:asciiTheme="minorEastAsia" w:hAnsiTheme="minorEastAsia" w:cs="Arial"/>
                <w:color w:val="2E2E2E"/>
                <w:kern w:val="0"/>
                <w:sz w:val="18"/>
                <w:szCs w:val="18"/>
              </w:rPr>
            </w:pPr>
            <w:r w:rsidRPr="00C947ED">
              <w:rPr>
                <w:rFonts w:asciiTheme="minorEastAsia" w:hAnsiTheme="minorEastAsia" w:cs="Arial" w:hint="eastAsia"/>
                <w:color w:val="2E2E2E"/>
                <w:kern w:val="0"/>
                <w:sz w:val="18"/>
                <w:szCs w:val="18"/>
              </w:rPr>
              <w:t>70%</w:t>
            </w:r>
          </w:p>
        </w:tc>
      </w:tr>
    </w:tbl>
    <w:p w:rsidR="00C947ED" w:rsidRPr="00C947ED" w:rsidRDefault="00C947ED" w:rsidP="00C947ED">
      <w:pPr>
        <w:widowControl/>
        <w:spacing w:line="58" w:lineRule="atLeast"/>
        <w:ind w:firstLineChars="200" w:firstLine="360"/>
        <w:jc w:val="right"/>
        <w:rPr>
          <w:rFonts w:asciiTheme="minorEastAsia" w:hAnsiTheme="minorEastAsia" w:cs="宋体" w:hint="eastAsia"/>
          <w:color w:val="2E2E2E"/>
          <w:kern w:val="0"/>
          <w:sz w:val="18"/>
          <w:szCs w:val="18"/>
        </w:rPr>
      </w:pPr>
      <w:r w:rsidRPr="00C947ED">
        <w:rPr>
          <w:rFonts w:asciiTheme="minorEastAsia" w:hAnsiTheme="minorEastAsia" w:cs="宋体" w:hint="eastAsia"/>
          <w:color w:val="2E2E2E"/>
          <w:kern w:val="0"/>
          <w:sz w:val="18"/>
          <w:szCs w:val="18"/>
        </w:rPr>
        <w:t>数据来源：香港交易所统计数据</w:t>
      </w:r>
    </w:p>
    <w:p w:rsidR="00C947ED" w:rsidRPr="00C947ED" w:rsidRDefault="00C947ED" w:rsidP="00C947ED">
      <w:pPr>
        <w:widowControl/>
        <w:spacing w:line="58" w:lineRule="atLeast"/>
        <w:ind w:firstLineChars="200" w:firstLine="360"/>
        <w:jc w:val="left"/>
        <w:rPr>
          <w:rFonts w:asciiTheme="minorEastAsia" w:hAnsiTheme="minorEastAsia" w:cs="宋体" w:hint="eastAsia"/>
          <w:color w:val="2E2E2E"/>
          <w:kern w:val="0"/>
          <w:sz w:val="18"/>
          <w:szCs w:val="18"/>
        </w:rPr>
      </w:pPr>
    </w:p>
    <w:p w:rsidR="00C947ED" w:rsidRPr="00C947ED" w:rsidRDefault="00C947ED" w:rsidP="00C947ED">
      <w:pPr>
        <w:widowControl/>
        <w:spacing w:line="58" w:lineRule="atLeast"/>
        <w:ind w:firstLineChars="200" w:firstLine="360"/>
        <w:jc w:val="left"/>
        <w:rPr>
          <w:rFonts w:asciiTheme="minorEastAsia" w:hAnsiTheme="minorEastAsia" w:cs="宋体" w:hint="eastAsia"/>
          <w:color w:val="2E2E2E"/>
          <w:kern w:val="0"/>
          <w:sz w:val="18"/>
          <w:szCs w:val="18"/>
        </w:rPr>
      </w:pPr>
      <w:r w:rsidRPr="00C947ED">
        <w:rPr>
          <w:rFonts w:asciiTheme="minorEastAsia" w:hAnsiTheme="minorEastAsia" w:cs="宋体" w:hint="eastAsia"/>
          <w:color w:val="2E2E2E"/>
          <w:kern w:val="0"/>
          <w:sz w:val="18"/>
          <w:szCs w:val="18"/>
        </w:rPr>
        <w:t>香港联交所证券市场有主板和创业板两个交易平台，为不同类型的公司提供集资市场。截至2015年12月31日，在香港联交所证券市场主板居于主导地位。主板中，金融行业的市值占比高达28%，为市值占比最高的行业；消费类公司数量约36%，为数量最多的行业。油气服务、金融业特色公司（如交易所、资产管理公司等）、可选消费（如电影与娱乐、专卖店、博彩、餐饮等）、电信和科技（电信公司、互联网与软件）等行业也占比较大。</w:t>
      </w:r>
    </w:p>
    <w:p w:rsidR="00C947ED" w:rsidRPr="00C947ED" w:rsidRDefault="00C947ED" w:rsidP="00C947ED">
      <w:pPr>
        <w:widowControl/>
        <w:spacing w:line="58" w:lineRule="atLeast"/>
        <w:ind w:firstLineChars="200" w:firstLine="400"/>
        <w:rPr>
          <w:rFonts w:asciiTheme="minorEastAsia" w:hAnsiTheme="minorEastAsia" w:cs="Arial" w:hint="eastAsia"/>
          <w:color w:val="2E2E2E"/>
          <w:kern w:val="0"/>
          <w:sz w:val="18"/>
          <w:szCs w:val="18"/>
        </w:rPr>
      </w:pPr>
      <w:r w:rsidRPr="00C947ED">
        <w:rPr>
          <w:rFonts w:ascii="Wingdings" w:eastAsia="Wingdings" w:hAnsi="Wingdings" w:cs="Wingdings"/>
          <w:color w:val="2E2E2E"/>
          <w:kern w:val="0"/>
          <w:sz w:val="20"/>
          <w:szCs w:val="20"/>
        </w:rPr>
        <w:lastRenderedPageBreak/>
        <w:t></w:t>
      </w:r>
      <w:r w:rsidRPr="00C947ED">
        <w:rPr>
          <w:rFonts w:ascii="Times New Roman" w:eastAsia="Wingdings" w:hAnsi="Times New Roman" w:cs="Times New Roman"/>
          <w:color w:val="2E2E2E"/>
          <w:kern w:val="0"/>
          <w:sz w:val="14"/>
          <w:szCs w:val="14"/>
        </w:rPr>
        <w:t xml:space="preserve">   </w:t>
      </w:r>
      <w:r w:rsidRPr="00C947ED">
        <w:rPr>
          <w:rFonts w:asciiTheme="minorEastAsia" w:hAnsiTheme="minorEastAsia" w:cs="Arial" w:hint="eastAsia"/>
          <w:color w:val="2E2E2E"/>
          <w:kern w:val="0"/>
          <w:sz w:val="18"/>
          <w:szCs w:val="18"/>
        </w:rPr>
        <w:t>主板：为业务基础较稳健而又符合盈利或其他财务要求的公司而设的市场。在主板上市的公司包括大型公司及银行以及公营机构及地产发展商。</w:t>
      </w:r>
    </w:p>
    <w:p w:rsidR="00C947ED" w:rsidRPr="00C947ED" w:rsidRDefault="00C947ED" w:rsidP="00C947ED">
      <w:pPr>
        <w:widowControl/>
        <w:spacing w:line="58" w:lineRule="atLeast"/>
        <w:ind w:firstLineChars="200" w:firstLine="400"/>
        <w:rPr>
          <w:rFonts w:asciiTheme="minorEastAsia" w:hAnsiTheme="minorEastAsia" w:cs="Arial" w:hint="eastAsia"/>
          <w:color w:val="2E2E2E"/>
          <w:kern w:val="0"/>
          <w:sz w:val="18"/>
          <w:szCs w:val="18"/>
        </w:rPr>
      </w:pPr>
      <w:r w:rsidRPr="00C947ED">
        <w:rPr>
          <w:rFonts w:ascii="Wingdings" w:eastAsia="Wingdings" w:hAnsi="Wingdings" w:cs="Wingdings"/>
          <w:color w:val="2E2E2E"/>
          <w:kern w:val="0"/>
          <w:sz w:val="20"/>
          <w:szCs w:val="20"/>
        </w:rPr>
        <w:t></w:t>
      </w:r>
      <w:r w:rsidRPr="00C947ED">
        <w:rPr>
          <w:rFonts w:ascii="Times New Roman" w:eastAsia="Wingdings" w:hAnsi="Times New Roman" w:cs="Times New Roman"/>
          <w:color w:val="2E2E2E"/>
          <w:kern w:val="0"/>
          <w:sz w:val="14"/>
          <w:szCs w:val="14"/>
        </w:rPr>
        <w:t xml:space="preserve">   </w:t>
      </w:r>
      <w:r w:rsidRPr="00C947ED">
        <w:rPr>
          <w:rFonts w:asciiTheme="minorEastAsia" w:hAnsiTheme="minorEastAsia" w:cs="Arial" w:hint="eastAsia"/>
          <w:color w:val="2E2E2E"/>
          <w:kern w:val="0"/>
          <w:sz w:val="18"/>
          <w:szCs w:val="18"/>
        </w:rPr>
        <w:t>创业板：第二板和通往主板的踏脚石，为不符合或未符合主板上市要求的公司而设。</w:t>
      </w:r>
    </w:p>
    <w:p w:rsidR="00C947ED" w:rsidRPr="00C947ED" w:rsidRDefault="00C947ED" w:rsidP="00C947ED">
      <w:pPr>
        <w:widowControl/>
        <w:spacing w:line="58" w:lineRule="atLeast"/>
        <w:ind w:firstLineChars="200" w:firstLine="360"/>
        <w:jc w:val="center"/>
        <w:rPr>
          <w:rFonts w:asciiTheme="minorEastAsia" w:hAnsiTheme="minorEastAsia" w:cs="宋体" w:hint="eastAsia"/>
          <w:color w:val="2E2E2E"/>
          <w:kern w:val="0"/>
          <w:sz w:val="18"/>
          <w:szCs w:val="18"/>
        </w:rPr>
      </w:pPr>
      <w:r w:rsidRPr="00C947ED">
        <w:rPr>
          <w:rFonts w:asciiTheme="minorEastAsia" w:hAnsiTheme="minorEastAsia" w:cs="宋体" w:hint="eastAsia"/>
          <w:color w:val="2E2E2E"/>
          <w:kern w:val="0"/>
          <w:sz w:val="18"/>
          <w:szCs w:val="18"/>
        </w:rPr>
        <w:t>表2：</w:t>
      </w:r>
      <w:r w:rsidRPr="00C947ED">
        <w:rPr>
          <w:rFonts w:asciiTheme="minorEastAsia" w:hAnsiTheme="minorEastAsia" w:cs="FZZDXJW--GB1-0" w:hint="eastAsia"/>
          <w:color w:val="231815"/>
          <w:kern w:val="0"/>
          <w:sz w:val="18"/>
          <w:szCs w:val="18"/>
        </w:rPr>
        <w:t>主板和创业板概览（</w:t>
      </w:r>
      <w:r w:rsidRPr="00C947ED">
        <w:rPr>
          <w:rFonts w:asciiTheme="minorEastAsia" w:hAnsiTheme="minorEastAsia" w:cs="宋体" w:hint="eastAsia"/>
          <w:color w:val="2E2E2E"/>
          <w:kern w:val="0"/>
          <w:sz w:val="18"/>
          <w:szCs w:val="18"/>
        </w:rPr>
        <w:t>截至2016年6月30日</w:t>
      </w:r>
      <w:r w:rsidRPr="00C947ED">
        <w:rPr>
          <w:rFonts w:asciiTheme="minorEastAsia" w:hAnsiTheme="minorEastAsia" w:cs="FZZDXJW--GB1-0" w:hint="eastAsia"/>
          <w:color w:val="231815"/>
          <w:kern w:val="0"/>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4"/>
        <w:gridCol w:w="1709"/>
        <w:gridCol w:w="1710"/>
        <w:gridCol w:w="1709"/>
        <w:gridCol w:w="1710"/>
      </w:tblGrid>
      <w:tr w:rsidR="00C947ED" w:rsidRPr="00C947ED" w:rsidTr="00C947ED">
        <w:trPr>
          <w:jc w:val="center"/>
        </w:trPr>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1"/>
              <w:jc w:val="center"/>
              <w:rPr>
                <w:rFonts w:asciiTheme="minorEastAsia" w:hAnsiTheme="minorEastAsia" w:cs="宋体"/>
                <w:b/>
                <w:color w:val="2E2E2E"/>
                <w:kern w:val="0"/>
                <w:sz w:val="18"/>
                <w:szCs w:val="18"/>
              </w:rPr>
            </w:pPr>
            <w:r w:rsidRPr="00C947ED">
              <w:rPr>
                <w:rFonts w:asciiTheme="minorEastAsia" w:hAnsiTheme="minorEastAsia" w:cs="宋体" w:hint="eastAsia"/>
                <w:b/>
                <w:color w:val="2E2E2E"/>
                <w:kern w:val="0"/>
                <w:sz w:val="18"/>
                <w:szCs w:val="18"/>
              </w:rPr>
              <w:t>交易板块</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1"/>
              <w:jc w:val="center"/>
              <w:rPr>
                <w:rFonts w:asciiTheme="minorEastAsia" w:hAnsiTheme="minorEastAsia" w:cs="宋体"/>
                <w:b/>
                <w:color w:val="2E2E2E"/>
                <w:kern w:val="0"/>
                <w:sz w:val="18"/>
                <w:szCs w:val="18"/>
              </w:rPr>
            </w:pPr>
            <w:r w:rsidRPr="00C947ED">
              <w:rPr>
                <w:rFonts w:asciiTheme="minorEastAsia" w:hAnsiTheme="minorEastAsia" w:cs="宋体" w:hint="eastAsia"/>
                <w:b/>
                <w:color w:val="2E2E2E"/>
                <w:kern w:val="0"/>
                <w:sz w:val="18"/>
                <w:szCs w:val="18"/>
              </w:rPr>
              <w:t>市值（港币）</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1"/>
              <w:jc w:val="center"/>
              <w:rPr>
                <w:rFonts w:asciiTheme="minorEastAsia" w:hAnsiTheme="minorEastAsia" w:cs="宋体"/>
                <w:b/>
                <w:color w:val="2E2E2E"/>
                <w:kern w:val="0"/>
                <w:sz w:val="18"/>
                <w:szCs w:val="18"/>
              </w:rPr>
            </w:pPr>
            <w:r w:rsidRPr="00C947ED">
              <w:rPr>
                <w:rFonts w:asciiTheme="minorEastAsia" w:hAnsiTheme="minorEastAsia" w:cs="宋体" w:hint="eastAsia"/>
                <w:b/>
                <w:color w:val="2E2E2E"/>
                <w:kern w:val="0"/>
                <w:sz w:val="18"/>
                <w:szCs w:val="18"/>
              </w:rPr>
              <w:t>市值占比</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1"/>
              <w:jc w:val="center"/>
              <w:rPr>
                <w:rFonts w:asciiTheme="minorEastAsia" w:hAnsiTheme="minorEastAsia" w:cs="宋体"/>
                <w:b/>
                <w:color w:val="2E2E2E"/>
                <w:kern w:val="0"/>
                <w:sz w:val="18"/>
                <w:szCs w:val="18"/>
              </w:rPr>
            </w:pPr>
            <w:r w:rsidRPr="00C947ED">
              <w:rPr>
                <w:rFonts w:asciiTheme="minorEastAsia" w:hAnsiTheme="minorEastAsia" w:cs="宋体" w:hint="eastAsia"/>
                <w:b/>
                <w:color w:val="2E2E2E"/>
                <w:kern w:val="0"/>
                <w:sz w:val="18"/>
                <w:szCs w:val="18"/>
              </w:rPr>
              <w:t>企业数量</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1"/>
              <w:jc w:val="center"/>
              <w:rPr>
                <w:rFonts w:asciiTheme="minorEastAsia" w:hAnsiTheme="minorEastAsia" w:cs="宋体"/>
                <w:b/>
                <w:color w:val="2E2E2E"/>
                <w:kern w:val="0"/>
                <w:sz w:val="18"/>
                <w:szCs w:val="18"/>
              </w:rPr>
            </w:pPr>
            <w:r w:rsidRPr="00C947ED">
              <w:rPr>
                <w:rFonts w:asciiTheme="minorEastAsia" w:hAnsiTheme="minorEastAsia" w:cs="宋体" w:hint="eastAsia"/>
                <w:b/>
                <w:color w:val="2E2E2E"/>
                <w:kern w:val="0"/>
                <w:sz w:val="18"/>
                <w:szCs w:val="18"/>
              </w:rPr>
              <w:t>企业量占比</w:t>
            </w:r>
          </w:p>
        </w:tc>
      </w:tr>
      <w:tr w:rsidR="00C947ED" w:rsidRPr="00C947ED" w:rsidTr="00C947ED">
        <w:trPr>
          <w:jc w:val="center"/>
        </w:trPr>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0"/>
              <w:jc w:val="center"/>
              <w:rPr>
                <w:rFonts w:asciiTheme="minorEastAsia" w:hAnsiTheme="minorEastAsia" w:cs="宋体"/>
                <w:color w:val="2E2E2E"/>
                <w:kern w:val="0"/>
                <w:sz w:val="18"/>
                <w:szCs w:val="18"/>
              </w:rPr>
            </w:pPr>
            <w:r w:rsidRPr="00C947ED">
              <w:rPr>
                <w:rFonts w:asciiTheme="minorEastAsia" w:hAnsiTheme="minorEastAsia" w:cs="宋体" w:hint="eastAsia"/>
                <w:color w:val="2E2E2E"/>
                <w:kern w:val="0"/>
                <w:sz w:val="18"/>
                <w:szCs w:val="18"/>
              </w:rPr>
              <w:t>主板</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0"/>
              <w:jc w:val="center"/>
              <w:rPr>
                <w:rFonts w:asciiTheme="minorEastAsia" w:hAnsiTheme="minorEastAsia" w:cs="宋体"/>
                <w:color w:val="2E2E2E"/>
                <w:kern w:val="0"/>
                <w:sz w:val="18"/>
                <w:szCs w:val="18"/>
              </w:rPr>
            </w:pPr>
            <w:r w:rsidRPr="00C947ED">
              <w:rPr>
                <w:rFonts w:asciiTheme="minorEastAsia" w:hAnsiTheme="minorEastAsia" w:cs="宋体" w:hint="eastAsia"/>
                <w:color w:val="2E2E2E"/>
                <w:kern w:val="0"/>
                <w:sz w:val="18"/>
                <w:szCs w:val="18"/>
              </w:rPr>
              <w:t>23万亿元</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0"/>
              <w:jc w:val="center"/>
              <w:rPr>
                <w:rFonts w:asciiTheme="minorEastAsia" w:hAnsiTheme="minorEastAsia" w:cs="宋体"/>
                <w:color w:val="2E2E2E"/>
                <w:kern w:val="0"/>
                <w:sz w:val="18"/>
                <w:szCs w:val="18"/>
              </w:rPr>
            </w:pPr>
            <w:r w:rsidRPr="00C947ED">
              <w:rPr>
                <w:rFonts w:asciiTheme="minorEastAsia" w:hAnsiTheme="minorEastAsia" w:cs="宋体" w:hint="eastAsia"/>
                <w:color w:val="2E2E2E"/>
                <w:kern w:val="0"/>
                <w:sz w:val="18"/>
                <w:szCs w:val="18"/>
              </w:rPr>
              <w:t>98.8%</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0"/>
              <w:jc w:val="center"/>
              <w:rPr>
                <w:rFonts w:asciiTheme="minorEastAsia" w:hAnsiTheme="minorEastAsia" w:cs="宋体"/>
                <w:color w:val="2E2E2E"/>
                <w:kern w:val="0"/>
                <w:sz w:val="18"/>
                <w:szCs w:val="18"/>
              </w:rPr>
            </w:pPr>
            <w:r w:rsidRPr="00C947ED">
              <w:rPr>
                <w:rFonts w:asciiTheme="minorEastAsia" w:hAnsiTheme="minorEastAsia" w:cs="宋体" w:hint="eastAsia"/>
                <w:color w:val="2E2E2E"/>
                <w:kern w:val="0"/>
                <w:sz w:val="18"/>
                <w:szCs w:val="18"/>
              </w:rPr>
              <w:t>1,666支</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0"/>
              <w:jc w:val="center"/>
              <w:rPr>
                <w:rFonts w:asciiTheme="minorEastAsia" w:hAnsiTheme="minorEastAsia" w:cs="宋体"/>
                <w:color w:val="2E2E2E"/>
                <w:kern w:val="0"/>
                <w:sz w:val="18"/>
                <w:szCs w:val="18"/>
              </w:rPr>
            </w:pPr>
            <w:r w:rsidRPr="00C947ED">
              <w:rPr>
                <w:rFonts w:asciiTheme="minorEastAsia" w:hAnsiTheme="minorEastAsia" w:cs="宋体" w:hint="eastAsia"/>
                <w:color w:val="2E2E2E"/>
                <w:kern w:val="0"/>
                <w:sz w:val="18"/>
                <w:szCs w:val="18"/>
              </w:rPr>
              <w:t>87.6%</w:t>
            </w:r>
          </w:p>
        </w:tc>
      </w:tr>
      <w:tr w:rsidR="00C947ED" w:rsidRPr="00C947ED" w:rsidTr="00C947ED">
        <w:trPr>
          <w:jc w:val="center"/>
        </w:trPr>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0"/>
              <w:jc w:val="center"/>
              <w:rPr>
                <w:rFonts w:asciiTheme="minorEastAsia" w:hAnsiTheme="minorEastAsia" w:cs="宋体"/>
                <w:color w:val="2E2E2E"/>
                <w:kern w:val="0"/>
                <w:sz w:val="18"/>
                <w:szCs w:val="18"/>
              </w:rPr>
            </w:pPr>
            <w:r w:rsidRPr="00C947ED">
              <w:rPr>
                <w:rFonts w:asciiTheme="minorEastAsia" w:hAnsiTheme="minorEastAsia" w:cs="宋体" w:hint="eastAsia"/>
                <w:color w:val="2E2E2E"/>
                <w:kern w:val="0"/>
                <w:sz w:val="18"/>
                <w:szCs w:val="18"/>
              </w:rPr>
              <w:t>创业板</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0"/>
              <w:jc w:val="center"/>
              <w:rPr>
                <w:rFonts w:asciiTheme="minorEastAsia" w:hAnsiTheme="minorEastAsia" w:cs="宋体"/>
                <w:color w:val="2E2E2E"/>
                <w:kern w:val="0"/>
                <w:sz w:val="18"/>
                <w:szCs w:val="18"/>
              </w:rPr>
            </w:pPr>
            <w:r w:rsidRPr="00C947ED">
              <w:rPr>
                <w:rFonts w:asciiTheme="minorEastAsia" w:hAnsiTheme="minorEastAsia" w:cs="宋体" w:hint="eastAsia"/>
                <w:color w:val="2E2E2E"/>
                <w:kern w:val="0"/>
                <w:sz w:val="18"/>
                <w:szCs w:val="18"/>
              </w:rPr>
              <w:t>2,663亿元</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0"/>
              <w:jc w:val="center"/>
              <w:rPr>
                <w:rFonts w:asciiTheme="minorEastAsia" w:hAnsiTheme="minorEastAsia" w:cs="宋体"/>
                <w:color w:val="2E2E2E"/>
                <w:kern w:val="0"/>
                <w:sz w:val="18"/>
                <w:szCs w:val="18"/>
              </w:rPr>
            </w:pPr>
            <w:r w:rsidRPr="00C947ED">
              <w:rPr>
                <w:rFonts w:asciiTheme="minorEastAsia" w:hAnsiTheme="minorEastAsia" w:cs="宋体" w:hint="eastAsia"/>
                <w:color w:val="2E2E2E"/>
                <w:kern w:val="0"/>
                <w:sz w:val="18"/>
                <w:szCs w:val="18"/>
              </w:rPr>
              <w:t>1.2%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0"/>
              <w:jc w:val="center"/>
              <w:rPr>
                <w:rFonts w:asciiTheme="minorEastAsia" w:hAnsiTheme="minorEastAsia" w:cs="宋体"/>
                <w:color w:val="2E2E2E"/>
                <w:kern w:val="0"/>
                <w:sz w:val="18"/>
                <w:szCs w:val="18"/>
              </w:rPr>
            </w:pPr>
            <w:r w:rsidRPr="00C947ED">
              <w:rPr>
                <w:rFonts w:asciiTheme="minorEastAsia" w:hAnsiTheme="minorEastAsia" w:cs="宋体" w:hint="eastAsia"/>
                <w:color w:val="2E2E2E"/>
                <w:kern w:val="0"/>
                <w:sz w:val="18"/>
                <w:szCs w:val="18"/>
              </w:rPr>
              <w:t>236支</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7ED" w:rsidRPr="00C947ED" w:rsidRDefault="00C947ED" w:rsidP="00C947ED">
            <w:pPr>
              <w:widowControl/>
              <w:spacing w:line="58" w:lineRule="atLeast"/>
              <w:ind w:firstLineChars="200" w:firstLine="360"/>
              <w:jc w:val="center"/>
              <w:rPr>
                <w:rFonts w:asciiTheme="minorEastAsia" w:hAnsiTheme="minorEastAsia" w:cs="宋体"/>
                <w:color w:val="2E2E2E"/>
                <w:kern w:val="0"/>
                <w:sz w:val="18"/>
                <w:szCs w:val="18"/>
              </w:rPr>
            </w:pPr>
            <w:r w:rsidRPr="00C947ED">
              <w:rPr>
                <w:rFonts w:asciiTheme="minorEastAsia" w:hAnsiTheme="minorEastAsia" w:cs="宋体" w:hint="eastAsia"/>
                <w:color w:val="2E2E2E"/>
                <w:kern w:val="0"/>
                <w:sz w:val="18"/>
                <w:szCs w:val="18"/>
              </w:rPr>
              <w:t>12.4%</w:t>
            </w:r>
          </w:p>
        </w:tc>
      </w:tr>
    </w:tbl>
    <w:p w:rsidR="00C947ED" w:rsidRPr="00C947ED" w:rsidRDefault="00C947ED" w:rsidP="00C947ED">
      <w:pPr>
        <w:widowControl/>
        <w:spacing w:line="58" w:lineRule="atLeast"/>
        <w:ind w:firstLineChars="200" w:firstLine="360"/>
        <w:jc w:val="right"/>
        <w:rPr>
          <w:rFonts w:asciiTheme="minorEastAsia" w:hAnsiTheme="minorEastAsia" w:cs="宋体" w:hint="eastAsia"/>
          <w:color w:val="2E2E2E"/>
          <w:kern w:val="0"/>
          <w:sz w:val="18"/>
          <w:szCs w:val="18"/>
        </w:rPr>
      </w:pPr>
      <w:r w:rsidRPr="00C947ED">
        <w:rPr>
          <w:rFonts w:asciiTheme="minorEastAsia" w:hAnsiTheme="minorEastAsia" w:cs="宋体" w:hint="eastAsia"/>
          <w:color w:val="2E2E2E"/>
          <w:kern w:val="0"/>
          <w:sz w:val="18"/>
          <w:szCs w:val="18"/>
        </w:rPr>
        <w:t>数据来源：香港交易所统计数据</w:t>
      </w:r>
    </w:p>
    <w:p w:rsidR="00C947ED" w:rsidRPr="00C947ED" w:rsidRDefault="00C947ED" w:rsidP="00C947ED">
      <w:pPr>
        <w:widowControl/>
        <w:spacing w:line="58" w:lineRule="atLeast"/>
        <w:ind w:firstLineChars="200" w:firstLine="360"/>
        <w:jc w:val="left"/>
        <w:rPr>
          <w:rFonts w:asciiTheme="minorEastAsia" w:hAnsiTheme="minorEastAsia" w:cs="宋体" w:hint="eastAsia"/>
          <w:color w:val="2E2E2E"/>
          <w:kern w:val="0"/>
          <w:sz w:val="18"/>
          <w:szCs w:val="18"/>
        </w:rPr>
      </w:pPr>
    </w:p>
    <w:p w:rsidR="00C947ED" w:rsidRPr="00C947ED" w:rsidRDefault="00C947ED" w:rsidP="00C947ED">
      <w:pPr>
        <w:widowControl/>
        <w:spacing w:line="58" w:lineRule="atLeast"/>
        <w:ind w:firstLineChars="200" w:firstLine="360"/>
        <w:jc w:val="left"/>
        <w:rPr>
          <w:rFonts w:asciiTheme="minorEastAsia" w:hAnsiTheme="minorEastAsia" w:cs="宋体" w:hint="eastAsia"/>
          <w:color w:val="2E2E2E"/>
          <w:kern w:val="0"/>
          <w:sz w:val="18"/>
          <w:szCs w:val="18"/>
        </w:rPr>
      </w:pPr>
      <w:r w:rsidRPr="00C947ED">
        <w:rPr>
          <w:rFonts w:asciiTheme="minorEastAsia" w:hAnsiTheme="minorEastAsia" w:cs="宋体" w:hint="eastAsia"/>
          <w:color w:val="2E2E2E"/>
          <w:kern w:val="0"/>
          <w:sz w:val="18"/>
          <w:szCs w:val="18"/>
        </w:rPr>
        <w:t>香港证券市场的投资者结构十分均衡。根据2014/2015现货市场交易研究调查，大约50%的成交额来自机构投资者，当中来自海外的机构投资者成交占逾一半，另约一半来自香港与中国内地的机构投资者。香港证券市场有30%的成交额来自个人投资者，其中三分之二来自香港，另有20%的成交额来自本地经纪的自营交易。</w:t>
      </w:r>
    </w:p>
    <w:p w:rsidR="00C947ED" w:rsidRPr="00C947ED" w:rsidRDefault="00C947ED" w:rsidP="00C947ED">
      <w:pPr>
        <w:widowControl/>
        <w:spacing w:line="58" w:lineRule="atLeast"/>
        <w:ind w:firstLineChars="200" w:firstLine="360"/>
        <w:jc w:val="left"/>
        <w:rPr>
          <w:rFonts w:asciiTheme="minorEastAsia" w:hAnsiTheme="minorEastAsia" w:cs="宋体" w:hint="eastAsia"/>
          <w:color w:val="2E2E2E"/>
          <w:kern w:val="0"/>
          <w:sz w:val="18"/>
          <w:szCs w:val="18"/>
        </w:rPr>
      </w:pPr>
      <w:r w:rsidRPr="00C947ED">
        <w:rPr>
          <w:rFonts w:asciiTheme="minorEastAsia" w:hAnsiTheme="minorEastAsia" w:cs="宋体" w:hint="eastAsia"/>
          <w:color w:val="2E2E2E"/>
          <w:kern w:val="0"/>
          <w:sz w:val="18"/>
          <w:szCs w:val="18"/>
        </w:rPr>
        <w:t>（如欲了解更多香港证券市场数据，请登录港交所网站www.hkexgroup.com，查询“统计数据及研究”栏目。）</w:t>
      </w:r>
    </w:p>
    <w:p w:rsidR="00C947ED" w:rsidRPr="00C947ED" w:rsidRDefault="00C947ED" w:rsidP="00C947ED">
      <w:pPr>
        <w:widowControl/>
        <w:spacing w:line="58" w:lineRule="atLeast"/>
        <w:ind w:firstLineChars="200" w:firstLine="361"/>
        <w:jc w:val="left"/>
        <w:rPr>
          <w:rFonts w:asciiTheme="minorEastAsia" w:hAnsiTheme="minorEastAsia" w:cs="宋体" w:hint="eastAsia"/>
          <w:b/>
          <w:color w:val="2E2E2E"/>
          <w:kern w:val="0"/>
          <w:sz w:val="18"/>
          <w:szCs w:val="18"/>
        </w:rPr>
      </w:pPr>
      <w:r w:rsidRPr="00C947ED">
        <w:rPr>
          <w:rFonts w:asciiTheme="minorEastAsia" w:hAnsiTheme="minorEastAsia" w:cs="宋体" w:hint="eastAsia"/>
          <w:b/>
          <w:color w:val="2E2E2E"/>
          <w:kern w:val="0"/>
          <w:sz w:val="18"/>
          <w:szCs w:val="18"/>
        </w:rPr>
        <w:tab/>
        <w:t>三、市场吸引力</w:t>
      </w:r>
    </w:p>
    <w:p w:rsidR="00C947ED" w:rsidRPr="00C947ED" w:rsidRDefault="00C947ED" w:rsidP="00C947ED">
      <w:pPr>
        <w:widowControl/>
        <w:spacing w:line="58" w:lineRule="atLeast"/>
        <w:ind w:firstLineChars="200" w:firstLine="360"/>
        <w:jc w:val="left"/>
        <w:rPr>
          <w:rFonts w:asciiTheme="minorEastAsia" w:hAnsiTheme="minorEastAsia" w:cs="宋体" w:hint="eastAsia"/>
          <w:color w:val="2E2E2E"/>
          <w:kern w:val="0"/>
          <w:sz w:val="18"/>
          <w:szCs w:val="18"/>
        </w:rPr>
      </w:pPr>
      <w:r w:rsidRPr="00C947ED">
        <w:rPr>
          <w:rFonts w:asciiTheme="minorEastAsia" w:hAnsiTheme="minorEastAsia" w:cs="宋体" w:hint="eastAsia"/>
          <w:color w:val="2E2E2E"/>
          <w:kern w:val="0"/>
          <w:sz w:val="18"/>
          <w:szCs w:val="18"/>
        </w:rPr>
        <w:t>截至2016年6月30日, 香港上市公司来源于全球26个不同的国家和地区，国际化程度较高。</w:t>
      </w:r>
    </w:p>
    <w:p w:rsidR="00C947ED" w:rsidRPr="00C947ED" w:rsidRDefault="00C947ED" w:rsidP="00C947ED">
      <w:pPr>
        <w:widowControl/>
        <w:spacing w:line="58" w:lineRule="atLeast"/>
        <w:ind w:firstLineChars="200" w:firstLine="360"/>
        <w:jc w:val="left"/>
        <w:rPr>
          <w:rFonts w:asciiTheme="minorEastAsia" w:hAnsiTheme="minorEastAsia" w:cs="宋体" w:hint="eastAsia"/>
          <w:color w:val="2E2E2E"/>
          <w:kern w:val="0"/>
          <w:sz w:val="18"/>
          <w:szCs w:val="18"/>
        </w:rPr>
      </w:pPr>
      <w:r w:rsidRPr="00C947ED">
        <w:rPr>
          <w:rFonts w:asciiTheme="minorEastAsia" w:hAnsiTheme="minorEastAsia" w:cs="宋体" w:hint="eastAsia"/>
          <w:color w:val="2E2E2E"/>
          <w:kern w:val="0"/>
          <w:sz w:val="18"/>
          <w:szCs w:val="18"/>
        </w:rPr>
        <w:t>一般来说，香港上市公司具有高分红的传统，派息率及股息收益率相对较高；2015年主板整体市场的股息收益率约为3.7%，恒生指数的10年平均派息率达到35%。</w:t>
      </w:r>
    </w:p>
    <w:p w:rsidR="00C947ED" w:rsidRPr="00C947ED" w:rsidRDefault="00C947ED" w:rsidP="00C947ED">
      <w:pPr>
        <w:widowControl/>
        <w:spacing w:line="58" w:lineRule="atLeast"/>
        <w:ind w:firstLineChars="200" w:firstLine="360"/>
        <w:jc w:val="left"/>
        <w:rPr>
          <w:rFonts w:asciiTheme="minorEastAsia" w:hAnsiTheme="minorEastAsia" w:cs="宋体" w:hint="eastAsia"/>
          <w:color w:val="2E2E2E"/>
          <w:kern w:val="0"/>
          <w:sz w:val="18"/>
          <w:szCs w:val="18"/>
          <w:highlight w:val="yellow"/>
        </w:rPr>
      </w:pPr>
      <w:r w:rsidRPr="00C947ED">
        <w:rPr>
          <w:rFonts w:asciiTheme="minorEastAsia" w:hAnsiTheme="minorEastAsia" w:cs="宋体" w:hint="eastAsia"/>
          <w:color w:val="2E2E2E"/>
          <w:kern w:val="0"/>
          <w:sz w:val="18"/>
          <w:szCs w:val="18"/>
        </w:rPr>
        <w:t>上市公司估值方面。截至2016年6月30日，香港上市主板公司平均市盈率约为10倍，和全球其他主要市场相比估值较低。纵向比较而言，恒生指数的市盈率和市净率水平均处在历史低位区域。</w:t>
      </w:r>
    </w:p>
    <w:p w:rsidR="00C947ED" w:rsidRPr="00C947ED" w:rsidRDefault="00C947ED" w:rsidP="00C947ED">
      <w:pPr>
        <w:widowControl/>
        <w:spacing w:line="58" w:lineRule="atLeast"/>
        <w:ind w:firstLineChars="200" w:firstLine="360"/>
        <w:jc w:val="left"/>
        <w:rPr>
          <w:rFonts w:asciiTheme="minorEastAsia" w:hAnsiTheme="minorEastAsia" w:cs="宋体" w:hint="eastAsia"/>
          <w:color w:val="2E2E2E"/>
          <w:kern w:val="0"/>
          <w:sz w:val="18"/>
          <w:szCs w:val="18"/>
          <w:highlight w:val="yellow"/>
        </w:rPr>
      </w:pPr>
      <w:r w:rsidRPr="00C947ED">
        <w:rPr>
          <w:rFonts w:asciiTheme="minorEastAsia" w:hAnsiTheme="minorEastAsia" w:cs="宋体" w:hint="eastAsia"/>
          <w:color w:val="2E2E2E"/>
          <w:kern w:val="0"/>
          <w:sz w:val="18"/>
          <w:szCs w:val="18"/>
        </w:rPr>
        <w:t>香港市场没有涨跌幅限制，但于2016年8月22日引入市场波动调节机制，实行T+0当天回转交易，也就是当日买入的股票后可于当日卖出，令交易效率更高。</w:t>
      </w:r>
    </w:p>
    <w:p w:rsidR="00C947ED" w:rsidRPr="00C947ED" w:rsidRDefault="00C947ED" w:rsidP="00C947ED">
      <w:pPr>
        <w:widowControl/>
        <w:spacing w:line="58" w:lineRule="atLeast"/>
        <w:ind w:firstLineChars="200" w:firstLine="360"/>
        <w:jc w:val="left"/>
        <w:rPr>
          <w:rFonts w:asciiTheme="minorEastAsia" w:hAnsiTheme="minorEastAsia" w:cs="宋体" w:hint="eastAsia"/>
          <w:color w:val="2E2E2E"/>
          <w:kern w:val="0"/>
          <w:sz w:val="18"/>
          <w:szCs w:val="18"/>
        </w:rPr>
      </w:pPr>
      <w:r w:rsidRPr="00C947ED">
        <w:rPr>
          <w:rFonts w:asciiTheme="minorEastAsia" w:hAnsiTheme="minorEastAsia" w:cs="宋体" w:hint="eastAsia"/>
          <w:color w:val="2E2E2E"/>
          <w:kern w:val="0"/>
          <w:sz w:val="18"/>
          <w:szCs w:val="18"/>
        </w:rPr>
        <w:t>港股通使内地投资者投资香港证券市场变得便捷：投资者可以直接使用深港通下的港股通账户进行交易，而无须去香港开户，简捷高效。</w:t>
      </w:r>
    </w:p>
    <w:p w:rsidR="00C947ED" w:rsidRPr="00C947ED" w:rsidRDefault="00C947ED" w:rsidP="00C947ED">
      <w:pPr>
        <w:widowControl/>
        <w:spacing w:line="58" w:lineRule="atLeast"/>
        <w:ind w:firstLineChars="200" w:firstLine="360"/>
        <w:jc w:val="left"/>
        <w:rPr>
          <w:rFonts w:asciiTheme="minorEastAsia" w:hAnsiTheme="minorEastAsia" w:cs="宋体" w:hint="eastAsia"/>
          <w:color w:val="2E2E2E"/>
          <w:kern w:val="0"/>
          <w:sz w:val="18"/>
          <w:szCs w:val="18"/>
        </w:rPr>
      </w:pPr>
      <w:r w:rsidRPr="00C947ED">
        <w:rPr>
          <w:rFonts w:asciiTheme="minorEastAsia" w:hAnsiTheme="minorEastAsia" w:cs="宋体" w:hint="eastAsia"/>
          <w:color w:val="2E2E2E"/>
          <w:kern w:val="0"/>
          <w:sz w:val="18"/>
          <w:szCs w:val="18"/>
        </w:rPr>
        <w:t>港股通投资者直接以人民币与证券公司进行交收，避免人民币出入境的不便，且不受每人每年5万美金的结汇、换汇额度限制。</w:t>
      </w:r>
    </w:p>
    <w:p w:rsidR="00C947ED" w:rsidRPr="00C947ED" w:rsidRDefault="00C947ED" w:rsidP="00C947ED">
      <w:pPr>
        <w:widowControl/>
        <w:spacing w:line="58" w:lineRule="atLeast"/>
        <w:ind w:firstLineChars="200" w:firstLine="360"/>
        <w:jc w:val="left"/>
        <w:rPr>
          <w:rFonts w:asciiTheme="minorEastAsia" w:hAnsiTheme="minorEastAsia" w:cs="宋体" w:hint="eastAsia"/>
          <w:color w:val="2E2E2E"/>
          <w:kern w:val="0"/>
          <w:sz w:val="18"/>
          <w:szCs w:val="18"/>
        </w:rPr>
      </w:pPr>
      <w:r w:rsidRPr="00C947ED">
        <w:rPr>
          <w:rFonts w:asciiTheme="minorEastAsia" w:hAnsiTheme="minorEastAsia" w:cs="宋体" w:hint="eastAsia"/>
          <w:color w:val="2E2E2E"/>
          <w:kern w:val="0"/>
          <w:sz w:val="18"/>
          <w:szCs w:val="18"/>
        </w:rPr>
        <w:t>（本文采用的数据来源于香港交易所统计数据。如欲了解更多港股通信息，请登录网站www.hkexgroup.com，查询“市场运作”栏目。）</w:t>
      </w:r>
    </w:p>
    <w:p w:rsidR="00C947ED" w:rsidRPr="00C947ED" w:rsidRDefault="00C947ED" w:rsidP="00C947ED">
      <w:pPr>
        <w:widowControl/>
        <w:spacing w:line="58" w:lineRule="atLeast"/>
        <w:ind w:firstLineChars="200" w:firstLine="360"/>
        <w:jc w:val="left"/>
        <w:rPr>
          <w:rFonts w:asciiTheme="minorEastAsia" w:hAnsiTheme="minorEastAsia" w:cs="宋体" w:hint="eastAsia"/>
          <w:color w:val="2E2E2E"/>
          <w:kern w:val="0"/>
          <w:sz w:val="18"/>
          <w:szCs w:val="18"/>
        </w:rPr>
      </w:pPr>
    </w:p>
    <w:p w:rsidR="00C947ED" w:rsidRPr="00C947ED" w:rsidRDefault="00C947ED" w:rsidP="00C947ED">
      <w:pPr>
        <w:widowControl/>
        <w:spacing w:line="58" w:lineRule="atLeast"/>
        <w:ind w:firstLineChars="200" w:firstLine="360"/>
        <w:jc w:val="left"/>
        <w:rPr>
          <w:rFonts w:asciiTheme="minorEastAsia" w:hAnsiTheme="minorEastAsia" w:cs="宋体" w:hint="eastAsia"/>
          <w:color w:val="000000"/>
          <w:kern w:val="0"/>
          <w:sz w:val="18"/>
          <w:szCs w:val="18"/>
        </w:rPr>
      </w:pPr>
      <w:r w:rsidRPr="00C947ED">
        <w:rPr>
          <w:rFonts w:asciiTheme="minorEastAsia" w:hAnsiTheme="minorEastAsia" w:cs="宋体" w:hint="eastAsia"/>
          <w:color w:val="000000"/>
          <w:kern w:val="0"/>
          <w:sz w:val="18"/>
          <w:szCs w:val="18"/>
        </w:rPr>
        <w:t>（免责声明：本栏目的信息不构成任何投资建议，投资者不应以该等信息取代其独立判断或仅根据该等信息做出决策。供稿人力求本栏目文章所涉信息准确可靠，但并不对其准确性、完整性和及时性做出任何保证，亦不对因使用本栏目信息引发的损失承担责任。）</w:t>
      </w:r>
    </w:p>
    <w:p w:rsidR="00C947ED" w:rsidRPr="00C947ED" w:rsidRDefault="00C947ED" w:rsidP="00C947ED">
      <w:pPr>
        <w:widowControl/>
        <w:spacing w:line="360" w:lineRule="auto"/>
        <w:ind w:firstLine="480"/>
        <w:jc w:val="left"/>
        <w:rPr>
          <w:rFonts w:ascii="宋体" w:eastAsia="宋体" w:hAnsi="宋体" w:cs="宋体" w:hint="eastAsia"/>
          <w:color w:val="2E2E2E"/>
          <w:kern w:val="0"/>
          <w:sz w:val="24"/>
          <w:szCs w:val="24"/>
        </w:rPr>
      </w:pPr>
    </w:p>
    <w:p w:rsidR="00C947ED" w:rsidRPr="00C947ED" w:rsidRDefault="00C947ED" w:rsidP="00C947ED">
      <w:pPr>
        <w:widowControl/>
        <w:spacing w:line="48" w:lineRule="atLeast"/>
        <w:jc w:val="left"/>
        <w:rPr>
          <w:rFonts w:ascii="Arial" w:eastAsia="宋体" w:hAnsi="Arial" w:cs="Arial" w:hint="eastAsia"/>
          <w:color w:val="4E4E4E"/>
          <w:kern w:val="0"/>
          <w:sz w:val="18"/>
          <w:szCs w:val="18"/>
        </w:rPr>
      </w:pPr>
    </w:p>
    <w:p w:rsidR="00853989" w:rsidRDefault="00853989"/>
    <w:sectPr w:rsidR="008539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989" w:rsidRDefault="00853989" w:rsidP="00C947ED">
      <w:r>
        <w:separator/>
      </w:r>
    </w:p>
  </w:endnote>
  <w:endnote w:type="continuationSeparator" w:id="1">
    <w:p w:rsidR="00853989" w:rsidRDefault="00853989" w:rsidP="00C947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ZDXJW--GB1-0">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989" w:rsidRDefault="00853989" w:rsidP="00C947ED">
      <w:r>
        <w:separator/>
      </w:r>
    </w:p>
  </w:footnote>
  <w:footnote w:type="continuationSeparator" w:id="1">
    <w:p w:rsidR="00853989" w:rsidRDefault="00853989" w:rsidP="00C947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47ED"/>
    <w:rsid w:val="00853989"/>
    <w:rsid w:val="00C947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4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47ED"/>
    <w:rPr>
      <w:sz w:val="18"/>
      <w:szCs w:val="18"/>
    </w:rPr>
  </w:style>
  <w:style w:type="paragraph" w:styleId="a4">
    <w:name w:val="footer"/>
    <w:basedOn w:val="a"/>
    <w:link w:val="Char0"/>
    <w:uiPriority w:val="99"/>
    <w:semiHidden/>
    <w:unhideWhenUsed/>
    <w:rsid w:val="00C947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47ED"/>
    <w:rPr>
      <w:sz w:val="18"/>
      <w:szCs w:val="18"/>
    </w:rPr>
  </w:style>
</w:styles>
</file>

<file path=word/webSettings.xml><?xml version="1.0" encoding="utf-8"?>
<w:webSettings xmlns:r="http://schemas.openxmlformats.org/officeDocument/2006/relationships" xmlns:w="http://schemas.openxmlformats.org/wordprocessingml/2006/main">
  <w:divs>
    <w:div w:id="821433079">
      <w:bodyDiv w:val="1"/>
      <w:marLeft w:val="0"/>
      <w:marRight w:val="0"/>
      <w:marTop w:val="0"/>
      <w:marBottom w:val="0"/>
      <w:divBdr>
        <w:top w:val="none" w:sz="0" w:space="0" w:color="auto"/>
        <w:left w:val="none" w:sz="0" w:space="0" w:color="auto"/>
        <w:bottom w:val="none" w:sz="0" w:space="0" w:color="auto"/>
        <w:right w:val="none" w:sz="0" w:space="0" w:color="auto"/>
      </w:divBdr>
      <w:divsChild>
        <w:div w:id="929200031">
          <w:marLeft w:val="0"/>
          <w:marRight w:val="0"/>
          <w:marTop w:val="0"/>
          <w:marBottom w:val="0"/>
          <w:divBdr>
            <w:top w:val="none" w:sz="0" w:space="0" w:color="auto"/>
            <w:left w:val="none" w:sz="0" w:space="0" w:color="auto"/>
            <w:bottom w:val="none" w:sz="0" w:space="0" w:color="auto"/>
            <w:right w:val="none" w:sz="0" w:space="0" w:color="auto"/>
          </w:divBdr>
          <w:divsChild>
            <w:div w:id="1779834860">
              <w:marLeft w:val="0"/>
              <w:marRight w:val="0"/>
              <w:marTop w:val="0"/>
              <w:marBottom w:val="0"/>
              <w:divBdr>
                <w:top w:val="none" w:sz="0" w:space="0" w:color="auto"/>
                <w:left w:val="none" w:sz="0" w:space="0" w:color="auto"/>
                <w:bottom w:val="none" w:sz="0" w:space="0" w:color="auto"/>
                <w:right w:val="none" w:sz="0" w:space="0" w:color="auto"/>
              </w:divBdr>
              <w:divsChild>
                <w:div w:id="594946581">
                  <w:marLeft w:val="0"/>
                  <w:marRight w:val="0"/>
                  <w:marTop w:val="0"/>
                  <w:marBottom w:val="0"/>
                  <w:divBdr>
                    <w:top w:val="none" w:sz="0" w:space="0" w:color="auto"/>
                    <w:left w:val="none" w:sz="0" w:space="0" w:color="auto"/>
                    <w:bottom w:val="none" w:sz="0" w:space="0" w:color="auto"/>
                    <w:right w:val="none" w:sz="0" w:space="0" w:color="auto"/>
                  </w:divBdr>
                  <w:divsChild>
                    <w:div w:id="120344340">
                      <w:marLeft w:val="0"/>
                      <w:marRight w:val="0"/>
                      <w:marTop w:val="0"/>
                      <w:marBottom w:val="0"/>
                      <w:divBdr>
                        <w:top w:val="none" w:sz="0" w:space="0" w:color="auto"/>
                        <w:left w:val="none" w:sz="0" w:space="0" w:color="auto"/>
                        <w:bottom w:val="dashed" w:sz="2" w:space="0" w:color="C1DBE8"/>
                        <w:right w:val="none" w:sz="0" w:space="0" w:color="auto"/>
                      </w:divBdr>
                    </w:div>
                    <w:div w:id="93792830">
                      <w:marLeft w:val="0"/>
                      <w:marRight w:val="0"/>
                      <w:marTop w:val="0"/>
                      <w:marBottom w:val="0"/>
                      <w:divBdr>
                        <w:top w:val="none" w:sz="0" w:space="0" w:color="auto"/>
                        <w:left w:val="none" w:sz="0" w:space="0" w:color="auto"/>
                        <w:bottom w:val="none" w:sz="0" w:space="0" w:color="auto"/>
                        <w:right w:val="none" w:sz="0" w:space="0" w:color="auto"/>
                      </w:divBdr>
                      <w:divsChild>
                        <w:div w:id="11302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马之遥/htsec</dc:creator>
  <cp:keywords/>
  <dc:description/>
  <cp:lastModifiedBy>马之遥/htsec</cp:lastModifiedBy>
  <cp:revision>3</cp:revision>
  <dcterms:created xsi:type="dcterms:W3CDTF">2016-10-29T09:06:00Z</dcterms:created>
  <dcterms:modified xsi:type="dcterms:W3CDTF">2016-10-29T09:06:00Z</dcterms:modified>
</cp:coreProperties>
</file>