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Times New Roman" w:hAnsi="Times New Roman" w:eastAsia="方正大标宋简体"/>
          <w:sz w:val="44"/>
          <w:szCs w:val="44"/>
        </w:rPr>
      </w:pPr>
      <w:bookmarkStart w:id="0" w:name="_GoBack"/>
      <w:bookmarkEnd w:id="0"/>
    </w:p>
    <w:p>
      <w:pPr>
        <w:spacing w:line="600" w:lineRule="exact"/>
        <w:jc w:val="center"/>
        <w:rPr>
          <w:rFonts w:ascii="方正大标宋简体" w:hAnsi="宋体" w:eastAsia="方正大标宋简体"/>
          <w:color w:val="000000"/>
          <w:sz w:val="44"/>
          <w:szCs w:val="44"/>
        </w:rPr>
      </w:pPr>
      <w:r>
        <w:rPr>
          <w:rFonts w:hint="eastAsia" w:ascii="方正大标宋简体" w:hAnsi="宋体" w:eastAsia="方正大标宋简体"/>
          <w:color w:val="000000"/>
          <w:sz w:val="44"/>
          <w:szCs w:val="44"/>
        </w:rPr>
        <w:t>关于优化融券交易相关安排的通知</w:t>
      </w:r>
    </w:p>
    <w:p>
      <w:pPr>
        <w:spacing w:line="600" w:lineRule="exact"/>
        <w:ind w:firstLine="612"/>
        <w:rPr>
          <w:rFonts w:ascii="Times New Roman" w:hAnsi="Times New Roman" w:eastAsia="方正仿宋简体"/>
          <w:sz w:val="30"/>
          <w:szCs w:val="30"/>
        </w:rPr>
      </w:pPr>
    </w:p>
    <w:p>
      <w:pPr>
        <w:jc w:val="center"/>
        <w:rPr>
          <w:rFonts w:ascii="Times New Roman" w:hAnsi="Times New Roman" w:eastAsia="仿宋"/>
          <w:sz w:val="32"/>
          <w:szCs w:val="32"/>
        </w:rPr>
      </w:pPr>
      <w:r>
        <w:rPr>
          <w:rFonts w:hint="eastAsia" w:ascii="仿宋" w:hAnsi="仿宋" w:eastAsia="仿宋"/>
          <w:sz w:val="28"/>
          <w:szCs w:val="28"/>
        </w:rPr>
        <w:t>北证</w:t>
      </w:r>
      <w:r>
        <w:rPr>
          <w:rFonts w:ascii="仿宋" w:hAnsi="仿宋" w:eastAsia="仿宋"/>
          <w:sz w:val="28"/>
          <w:szCs w:val="28"/>
        </w:rPr>
        <w:t>公告</w:t>
      </w:r>
      <w:r>
        <w:rPr>
          <w:rFonts w:ascii="Times New Roman" w:hAnsi="Times New Roman" w:eastAsia="方正仿宋简体"/>
          <w:sz w:val="28"/>
          <w:szCs w:val="28"/>
        </w:rPr>
        <w:t>〔20</w:t>
      </w:r>
      <w:r>
        <w:rPr>
          <w:rFonts w:hint="eastAsia" w:ascii="Times New Roman" w:hAnsi="Times New Roman" w:eastAsia="方正仿宋简体"/>
          <w:sz w:val="28"/>
          <w:szCs w:val="28"/>
        </w:rPr>
        <w:t>23</w:t>
      </w:r>
      <w:r>
        <w:rPr>
          <w:rFonts w:ascii="Times New Roman" w:hAnsi="Times New Roman" w:eastAsia="方正仿宋简体"/>
          <w:sz w:val="28"/>
          <w:szCs w:val="28"/>
        </w:rPr>
        <w:t>〕</w:t>
      </w:r>
      <w:r>
        <w:rPr>
          <w:rFonts w:hint="eastAsia" w:ascii="Times New Roman" w:hAnsi="Times New Roman" w:eastAsia="方正仿宋简体"/>
          <w:sz w:val="28"/>
          <w:szCs w:val="28"/>
        </w:rPr>
        <w:t>78</w:t>
      </w:r>
      <w:r>
        <w:rPr>
          <w:rFonts w:ascii="仿宋" w:hAnsi="仿宋" w:eastAsia="仿宋"/>
          <w:sz w:val="28"/>
          <w:szCs w:val="28"/>
        </w:rPr>
        <w:t>号</w:t>
      </w:r>
    </w:p>
    <w:p>
      <w:pPr>
        <w:spacing w:line="600" w:lineRule="exact"/>
        <w:ind w:firstLine="612"/>
        <w:rPr>
          <w:rFonts w:ascii="Times New Roman" w:hAnsi="Times New Roman" w:eastAsia="方正仿宋简体"/>
          <w:sz w:val="30"/>
          <w:szCs w:val="30"/>
        </w:rPr>
      </w:pPr>
    </w:p>
    <w:p>
      <w:pPr>
        <w:spacing w:line="360" w:lineRule="auto"/>
        <w:rPr>
          <w:rFonts w:ascii="Times New Roman" w:hAnsi="Times New Roman" w:eastAsia="仿宋"/>
          <w:bCs/>
          <w:sz w:val="32"/>
          <w:szCs w:val="32"/>
        </w:rPr>
      </w:pPr>
      <w:r>
        <w:rPr>
          <w:rFonts w:ascii="Times New Roman" w:hAnsi="Times New Roman" w:eastAsia="仿宋"/>
          <w:bCs/>
          <w:sz w:val="32"/>
          <w:szCs w:val="32"/>
        </w:rPr>
        <w:t>各市场参与人：</w:t>
      </w:r>
      <w:r>
        <w:rPr>
          <w:rFonts w:hint="eastAsia" w:ascii="Times New Roman" w:hAnsi="Times New Roman" w:eastAsia="仿宋"/>
          <w:bCs/>
          <w:sz w:val="32"/>
          <w:szCs w:val="32"/>
        </w:rPr>
        <w:t xml:space="preserve"> </w:t>
      </w:r>
    </w:p>
    <w:p>
      <w:pPr>
        <w:spacing w:line="360" w:lineRule="auto"/>
        <w:ind w:firstLine="640" w:firstLineChars="200"/>
        <w:rPr>
          <w:rFonts w:ascii="Times New Roman" w:hAnsi="Times New Roman" w:eastAsia="仿宋"/>
          <w:bCs/>
          <w:sz w:val="32"/>
          <w:szCs w:val="32"/>
        </w:rPr>
      </w:pPr>
      <w:r>
        <w:rPr>
          <w:rFonts w:ascii="Times New Roman" w:hAnsi="Times New Roman" w:eastAsia="仿宋"/>
          <w:bCs/>
          <w:sz w:val="32"/>
          <w:szCs w:val="32"/>
        </w:rPr>
        <w:t>为加强融券逆周期调节，维护证券市场交易秩序，经中国证监会批准，北京证券交易所（以下简称本所）现就优化融券交易相关安排通知如下：</w:t>
      </w:r>
    </w:p>
    <w:p>
      <w:pPr>
        <w:ind w:firstLine="640" w:firstLineChars="200"/>
        <w:rPr>
          <w:rFonts w:ascii="Times New Roman" w:hAnsi="Times New Roman" w:eastAsia="仿宋"/>
          <w:sz w:val="32"/>
          <w:szCs w:val="32"/>
        </w:rPr>
      </w:pPr>
      <w:r>
        <w:rPr>
          <w:rFonts w:ascii="Times New Roman" w:hAnsi="Times New Roman" w:eastAsia="仿宋"/>
          <w:bCs/>
          <w:sz w:val="32"/>
          <w:szCs w:val="32"/>
        </w:rPr>
        <w:t>一、</w:t>
      </w:r>
      <w:r>
        <w:rPr>
          <w:rFonts w:ascii="Times New Roman" w:hAnsi="Times New Roman" w:eastAsia="仿宋"/>
          <w:sz w:val="32"/>
          <w:szCs w:val="32"/>
        </w:rPr>
        <w:t>投资者融券卖出时，融券保证金比例不得低于80%。其中，投资者为私募证券投资基金的，融券卖出时，融券保证金比例不得低于100%。</w:t>
      </w:r>
    </w:p>
    <w:p>
      <w:pPr>
        <w:ind w:firstLine="640" w:firstLineChars="200"/>
        <w:rPr>
          <w:rFonts w:ascii="Times New Roman" w:hAnsi="Times New Roman" w:eastAsia="仿宋"/>
          <w:sz w:val="32"/>
          <w:szCs w:val="32"/>
        </w:rPr>
      </w:pPr>
      <w:r>
        <w:rPr>
          <w:rFonts w:ascii="Times New Roman" w:hAnsi="Times New Roman" w:eastAsia="仿宋"/>
          <w:sz w:val="32"/>
          <w:szCs w:val="32"/>
        </w:rPr>
        <w:t>本通知实施前尚未了结的融券合约，融券保证金比例要求</w:t>
      </w:r>
      <w:r>
        <w:rPr>
          <w:rFonts w:hint="eastAsia" w:ascii="Times New Roman" w:hAnsi="Times New Roman" w:eastAsia="仿宋"/>
          <w:sz w:val="32"/>
          <w:szCs w:val="32"/>
        </w:rPr>
        <w:t>仍</w:t>
      </w:r>
      <w:r>
        <w:rPr>
          <w:rFonts w:ascii="Times New Roman" w:hAnsi="Times New Roman" w:eastAsia="仿宋"/>
          <w:sz w:val="32"/>
          <w:szCs w:val="32"/>
        </w:rPr>
        <w:t>按照原规定执行。</w:t>
      </w:r>
    </w:p>
    <w:p>
      <w:pPr>
        <w:ind w:firstLine="640" w:firstLineChars="200"/>
        <w:rPr>
          <w:rFonts w:ascii="Times New Roman" w:hAnsi="Times New Roman" w:eastAsia="仿宋"/>
          <w:sz w:val="32"/>
          <w:szCs w:val="32"/>
        </w:rPr>
      </w:pPr>
      <w:r>
        <w:rPr>
          <w:rFonts w:ascii="Times New Roman" w:hAnsi="Times New Roman" w:eastAsia="仿宋"/>
          <w:bCs/>
          <w:sz w:val="32"/>
          <w:szCs w:val="32"/>
        </w:rPr>
        <w:t>二、投资者持有上市公司限售股份、战略配售股份</w:t>
      </w:r>
      <w:r>
        <w:rPr>
          <w:rFonts w:ascii="Times New Roman" w:hAnsi="Times New Roman" w:eastAsia="仿宋"/>
          <w:sz w:val="32"/>
          <w:szCs w:val="32"/>
        </w:rPr>
        <w:t>等有转让限制的股份的，在限制期内，投资者及其关联方不得融券卖出该上市公司股票。</w:t>
      </w: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投资者及其关联方在获得本条前款规定的相关股份前，</w:t>
      </w:r>
      <w:r>
        <w:rPr>
          <w:rFonts w:hint="eastAsia" w:ascii="Times New Roman" w:hAnsi="Times New Roman" w:eastAsia="仿宋"/>
          <w:sz w:val="32"/>
          <w:szCs w:val="32"/>
        </w:rPr>
        <w:t>如</w:t>
      </w:r>
      <w:r>
        <w:rPr>
          <w:rFonts w:ascii="Times New Roman" w:hAnsi="Times New Roman" w:eastAsia="仿宋"/>
          <w:sz w:val="32"/>
          <w:szCs w:val="32"/>
        </w:rPr>
        <w:t>有尚未了结的该上市公司股票融券合约的，应当在获得相关股份前了结融券合约。</w:t>
      </w:r>
    </w:p>
    <w:p>
      <w:pPr>
        <w:ind w:firstLine="640" w:firstLineChars="200"/>
        <w:rPr>
          <w:rFonts w:ascii="Times New Roman" w:hAnsi="Times New Roman" w:eastAsia="仿宋"/>
          <w:sz w:val="32"/>
          <w:szCs w:val="32"/>
        </w:rPr>
      </w:pPr>
      <w:r>
        <w:rPr>
          <w:rFonts w:ascii="Times New Roman" w:hAnsi="Times New Roman" w:eastAsia="仿宋"/>
          <w:sz w:val="32"/>
          <w:szCs w:val="32"/>
        </w:rPr>
        <w:t>三、会员应当遵循公平、风险可控</w:t>
      </w:r>
      <w:r>
        <w:rPr>
          <w:rFonts w:hint="eastAsia" w:ascii="Times New Roman" w:hAnsi="Times New Roman" w:eastAsia="仿宋"/>
          <w:sz w:val="32"/>
          <w:szCs w:val="32"/>
        </w:rPr>
        <w:t>的</w:t>
      </w:r>
      <w:r>
        <w:rPr>
          <w:rFonts w:ascii="Times New Roman" w:hAnsi="Times New Roman" w:eastAsia="仿宋"/>
          <w:sz w:val="32"/>
          <w:szCs w:val="32"/>
        </w:rPr>
        <w:t>原则，建立健全融券券源分配机制，防范利益输送</w:t>
      </w:r>
      <w:r>
        <w:rPr>
          <w:rFonts w:hint="eastAsia" w:ascii="Times New Roman" w:hAnsi="Times New Roman" w:eastAsia="仿宋"/>
          <w:sz w:val="32"/>
          <w:szCs w:val="32"/>
        </w:rPr>
        <w:t>。会员应当按照穿透原则核查投资者情况，并对投资者融券行为加强管理。根据投资者类型、交易行为特点，建立相应的准入机制，会员负责合规风控的高级管理人员对准入机制执行情况承担管理责任。</w:t>
      </w:r>
    </w:p>
    <w:p>
      <w:pPr>
        <w:spacing w:line="560" w:lineRule="exact"/>
        <w:ind w:firstLine="600"/>
        <w:rPr>
          <w:rFonts w:ascii="Times New Roman" w:hAnsi="Times New Roman" w:eastAsia="仿宋"/>
          <w:sz w:val="32"/>
          <w:szCs w:val="32"/>
        </w:rPr>
      </w:pPr>
      <w:r>
        <w:rPr>
          <w:rFonts w:ascii="Times New Roman" w:hAnsi="Times New Roman" w:eastAsia="仿宋"/>
          <w:sz w:val="32"/>
          <w:szCs w:val="32"/>
        </w:rPr>
        <w:t>会员应当对投资者的相关交易行为进行前端核查，</w:t>
      </w:r>
      <w:r>
        <w:rPr>
          <w:rFonts w:hint="eastAsia" w:ascii="Times New Roman" w:hAnsi="Times New Roman" w:eastAsia="仿宋"/>
          <w:sz w:val="32"/>
          <w:szCs w:val="32"/>
        </w:rPr>
        <w:t>严禁参与违规或为违规提供便利，</w:t>
      </w:r>
      <w:r>
        <w:rPr>
          <w:rFonts w:ascii="Times New Roman" w:hAnsi="Times New Roman" w:eastAsia="仿宋"/>
          <w:sz w:val="32"/>
          <w:szCs w:val="32"/>
        </w:rPr>
        <w:t>发现投资者交易行为不符合相关规定的，不得为其办理融券业务。</w:t>
      </w:r>
    </w:p>
    <w:p>
      <w:pPr>
        <w:spacing w:line="560" w:lineRule="exact"/>
        <w:ind w:firstLine="600"/>
        <w:rPr>
          <w:rFonts w:ascii="Times New Roman" w:hAnsi="Times New Roman" w:eastAsia="仿宋"/>
          <w:sz w:val="32"/>
          <w:szCs w:val="32"/>
        </w:rPr>
      </w:pPr>
      <w:r>
        <w:rPr>
          <w:rFonts w:ascii="Times New Roman" w:hAnsi="Times New Roman" w:eastAsia="仿宋"/>
          <w:sz w:val="32"/>
          <w:szCs w:val="32"/>
        </w:rPr>
        <w:t>四、会员及投资者违反本通知规定的，本所可以根据《北京证券交易所融资融券交易细则》等有关规定采取自律监管措施或者实施纪律处分。</w:t>
      </w: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五、本通知</w:t>
      </w:r>
      <w:r>
        <w:rPr>
          <w:rFonts w:hint="eastAsia" w:ascii="Times New Roman" w:hAnsi="Times New Roman" w:eastAsia="仿宋"/>
          <w:sz w:val="32"/>
          <w:szCs w:val="32"/>
        </w:rPr>
        <w:t>第一条自2023年10月30日起施行，其他条款</w:t>
      </w:r>
      <w:r>
        <w:rPr>
          <w:rFonts w:ascii="Times New Roman" w:hAnsi="Times New Roman" w:eastAsia="仿宋"/>
          <w:sz w:val="32"/>
          <w:szCs w:val="32"/>
        </w:rPr>
        <w:t>自</w:t>
      </w:r>
      <w:r>
        <w:rPr>
          <w:rFonts w:hint="eastAsia" w:ascii="Times New Roman" w:hAnsi="Times New Roman" w:eastAsia="仿宋"/>
          <w:sz w:val="32"/>
          <w:szCs w:val="32"/>
        </w:rPr>
        <w:t>2023年10月16日</w:t>
      </w:r>
      <w:r>
        <w:rPr>
          <w:rFonts w:ascii="Times New Roman" w:hAnsi="Times New Roman" w:eastAsia="仿宋"/>
          <w:sz w:val="32"/>
          <w:szCs w:val="32"/>
        </w:rPr>
        <w:t>起</w:t>
      </w:r>
      <w:r>
        <w:rPr>
          <w:rFonts w:hint="eastAsia" w:ascii="Times New Roman" w:hAnsi="Times New Roman" w:eastAsia="仿宋"/>
          <w:sz w:val="32"/>
          <w:szCs w:val="32"/>
        </w:rPr>
        <w:t>施行</w:t>
      </w:r>
      <w:r>
        <w:rPr>
          <w:rFonts w:ascii="Times New Roman" w:hAnsi="Times New Roman" w:eastAsia="仿宋"/>
          <w:sz w:val="32"/>
          <w:szCs w:val="32"/>
        </w:rPr>
        <w:t>。本所此前发布的其他业务规则与本通知规定不一致的，以本通知为准。</w:t>
      </w:r>
    </w:p>
    <w:p>
      <w:pPr>
        <w:spacing w:line="360" w:lineRule="auto"/>
        <w:ind w:firstLine="640" w:firstLineChars="200"/>
        <w:rPr>
          <w:rFonts w:ascii="Times New Roman" w:hAnsi="Times New Roman" w:eastAsia="仿宋"/>
          <w:sz w:val="32"/>
          <w:szCs w:val="32"/>
        </w:rPr>
      </w:pPr>
      <w:r>
        <w:rPr>
          <w:rFonts w:hint="eastAsia" w:ascii="Times New Roman" w:hAnsi="Times New Roman" w:eastAsia="仿宋"/>
          <w:sz w:val="32"/>
          <w:szCs w:val="32"/>
        </w:rPr>
        <w:t>各</w:t>
      </w:r>
      <w:r>
        <w:rPr>
          <w:rFonts w:ascii="Times New Roman" w:hAnsi="Times New Roman" w:eastAsia="仿宋"/>
          <w:sz w:val="32"/>
          <w:szCs w:val="32"/>
        </w:rPr>
        <w:t>会员应当根据本通知的相关要求开展投资者教育，认真做好相关业务和技术系统准备，</w:t>
      </w:r>
      <w:r>
        <w:rPr>
          <w:rFonts w:hint="eastAsia" w:ascii="Times New Roman" w:hAnsi="Times New Roman" w:eastAsia="仿宋"/>
          <w:sz w:val="32"/>
          <w:szCs w:val="32"/>
        </w:rPr>
        <w:t>并</w:t>
      </w:r>
      <w:r>
        <w:rPr>
          <w:rFonts w:ascii="Times New Roman" w:hAnsi="Times New Roman" w:eastAsia="仿宋"/>
          <w:sz w:val="32"/>
          <w:szCs w:val="32"/>
        </w:rPr>
        <w:t>确保业务平稳运行。</w:t>
      </w:r>
    </w:p>
    <w:p>
      <w:pPr>
        <w:spacing w:line="560" w:lineRule="exact"/>
        <w:ind w:firstLine="600"/>
        <w:rPr>
          <w:rFonts w:ascii="Times New Roman" w:hAnsi="Times New Roman" w:eastAsia="仿宋"/>
          <w:sz w:val="32"/>
          <w:szCs w:val="32"/>
        </w:rPr>
      </w:pPr>
      <w:r>
        <w:rPr>
          <w:rFonts w:hint="eastAsia" w:ascii="Times New Roman" w:hAnsi="Times New Roman" w:eastAsia="仿宋"/>
          <w:sz w:val="32"/>
          <w:szCs w:val="32"/>
        </w:rPr>
        <w:t>特此通知。</w:t>
      </w:r>
    </w:p>
    <w:p>
      <w:pPr>
        <w:spacing w:line="560" w:lineRule="exact"/>
        <w:rPr>
          <w:rFonts w:ascii="Times New Roman" w:hAnsi="Times New Roman" w:eastAsia="仿宋"/>
          <w:bCs/>
          <w:sz w:val="32"/>
          <w:szCs w:val="32"/>
        </w:rPr>
      </w:pPr>
    </w:p>
    <w:p>
      <w:pPr>
        <w:spacing w:line="560" w:lineRule="exact"/>
        <w:rPr>
          <w:rFonts w:ascii="Times New Roman" w:hAnsi="Times New Roman" w:eastAsia="仿宋"/>
          <w:bCs/>
          <w:sz w:val="32"/>
          <w:szCs w:val="32"/>
        </w:rPr>
      </w:pPr>
    </w:p>
    <w:p>
      <w:pPr>
        <w:spacing w:line="560" w:lineRule="exact"/>
        <w:rPr>
          <w:rFonts w:ascii="Times New Roman" w:hAnsi="Times New Roman" w:eastAsia="仿宋"/>
          <w:bCs/>
          <w:sz w:val="32"/>
          <w:szCs w:val="32"/>
        </w:rPr>
      </w:pPr>
      <w:r>
        <w:rPr>
          <w:rFonts w:ascii="Times New Roman" w:hAnsi="Times New Roman" w:eastAsia="仿宋"/>
          <w:bCs/>
          <w:sz w:val="32"/>
          <w:szCs w:val="32"/>
        </w:rPr>
        <w:t xml:space="preserve">                                北京证券交易所</w:t>
      </w:r>
    </w:p>
    <w:p>
      <w:pPr>
        <w:spacing w:line="560" w:lineRule="exact"/>
        <w:ind w:firstLine="600"/>
        <w:rPr>
          <w:rFonts w:ascii="Times New Roman" w:hAnsi="Times New Roman" w:eastAsia="仿宋"/>
          <w:sz w:val="28"/>
          <w:szCs w:val="28"/>
        </w:rPr>
      </w:pPr>
      <w:r>
        <w:rPr>
          <w:rFonts w:ascii="Times New Roman" w:hAnsi="Times New Roman" w:eastAsia="仿宋"/>
          <w:sz w:val="32"/>
          <w:szCs w:val="32"/>
        </w:rPr>
        <w:t xml:space="preserve">                           2023年</w:t>
      </w:r>
      <w:r>
        <w:rPr>
          <w:rFonts w:hint="eastAsia" w:ascii="Times New Roman" w:hAnsi="Times New Roman" w:eastAsia="仿宋"/>
          <w:sz w:val="32"/>
          <w:szCs w:val="32"/>
        </w:rPr>
        <w:t>10</w:t>
      </w:r>
      <w:r>
        <w:rPr>
          <w:rFonts w:ascii="Times New Roman" w:hAnsi="Times New Roman" w:eastAsia="仿宋"/>
          <w:sz w:val="32"/>
          <w:szCs w:val="32"/>
        </w:rPr>
        <w:t>月</w:t>
      </w:r>
      <w:r>
        <w:rPr>
          <w:rFonts w:hint="eastAsia" w:ascii="Times New Roman" w:hAnsi="Times New Roman" w:eastAsia="仿宋"/>
          <w:sz w:val="32"/>
          <w:szCs w:val="32"/>
        </w:rPr>
        <w:t>1</w:t>
      </w:r>
      <w:r>
        <w:rPr>
          <w:rFonts w:hint="default" w:ascii="Times New Roman" w:hAnsi="Times New Roman" w:eastAsia="仿宋"/>
          <w:sz w:val="32"/>
          <w:szCs w:val="32"/>
          <w:lang w:val="en"/>
        </w:rPr>
        <w:t>4</w:t>
      </w:r>
      <w:r>
        <w:rPr>
          <w:rFonts w:ascii="Times New Roman" w:hAnsi="Times New Roman" w:eastAsia="仿宋"/>
          <w:sz w:val="32"/>
          <w:szCs w:val="32"/>
        </w:rPr>
        <w:t>日</w:t>
      </w: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09888"/>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239689"/>
    </w:sdtPr>
    <w:sdtEndPr>
      <w:rPr>
        <w:rFonts w:asciiTheme="minorEastAsia" w:hAnsiTheme="minorEastAsia" w:eastAsiaTheme="minorEastAsia"/>
        <w:sz w:val="28"/>
        <w:szCs w:val="28"/>
      </w:rPr>
    </w:sdtEndPr>
    <w:sdtContent>
      <w:p>
        <w:pPr>
          <w:pStyle w:val="6"/>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3FD4"/>
    <w:rsid w:val="000140A5"/>
    <w:rsid w:val="00023393"/>
    <w:rsid w:val="00023918"/>
    <w:rsid w:val="000253C4"/>
    <w:rsid w:val="00027677"/>
    <w:rsid w:val="00030254"/>
    <w:rsid w:val="0003177A"/>
    <w:rsid w:val="00031819"/>
    <w:rsid w:val="0003452A"/>
    <w:rsid w:val="00034CB4"/>
    <w:rsid w:val="00034DC5"/>
    <w:rsid w:val="000350FA"/>
    <w:rsid w:val="00036093"/>
    <w:rsid w:val="00040339"/>
    <w:rsid w:val="000406E0"/>
    <w:rsid w:val="00040A29"/>
    <w:rsid w:val="00042AA7"/>
    <w:rsid w:val="000464E4"/>
    <w:rsid w:val="0004678F"/>
    <w:rsid w:val="000501AA"/>
    <w:rsid w:val="000515D0"/>
    <w:rsid w:val="000530B5"/>
    <w:rsid w:val="00057221"/>
    <w:rsid w:val="000614F2"/>
    <w:rsid w:val="00061835"/>
    <w:rsid w:val="00070A1C"/>
    <w:rsid w:val="00070EF4"/>
    <w:rsid w:val="00073313"/>
    <w:rsid w:val="00075DDE"/>
    <w:rsid w:val="000770D6"/>
    <w:rsid w:val="00077336"/>
    <w:rsid w:val="00077B36"/>
    <w:rsid w:val="00087D53"/>
    <w:rsid w:val="00090A5F"/>
    <w:rsid w:val="000914B4"/>
    <w:rsid w:val="00092880"/>
    <w:rsid w:val="00093565"/>
    <w:rsid w:val="00093666"/>
    <w:rsid w:val="000979F3"/>
    <w:rsid w:val="000B1D18"/>
    <w:rsid w:val="000B2000"/>
    <w:rsid w:val="000B3F90"/>
    <w:rsid w:val="000B4853"/>
    <w:rsid w:val="000B52DC"/>
    <w:rsid w:val="000B5EAA"/>
    <w:rsid w:val="000C446C"/>
    <w:rsid w:val="000C6818"/>
    <w:rsid w:val="000D205A"/>
    <w:rsid w:val="000D7B7F"/>
    <w:rsid w:val="000E6E4C"/>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1BFE"/>
    <w:rsid w:val="0012224F"/>
    <w:rsid w:val="00126771"/>
    <w:rsid w:val="00126F8E"/>
    <w:rsid w:val="00130AC5"/>
    <w:rsid w:val="00131C2F"/>
    <w:rsid w:val="00131FD5"/>
    <w:rsid w:val="00131FE7"/>
    <w:rsid w:val="001351B4"/>
    <w:rsid w:val="00136A16"/>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51C9"/>
    <w:rsid w:val="00177DEB"/>
    <w:rsid w:val="0018408C"/>
    <w:rsid w:val="00184F1F"/>
    <w:rsid w:val="001856EA"/>
    <w:rsid w:val="0018614E"/>
    <w:rsid w:val="00186237"/>
    <w:rsid w:val="001868F6"/>
    <w:rsid w:val="0019258E"/>
    <w:rsid w:val="001931B8"/>
    <w:rsid w:val="00194F2E"/>
    <w:rsid w:val="00196309"/>
    <w:rsid w:val="001A4206"/>
    <w:rsid w:val="001A5588"/>
    <w:rsid w:val="001B041D"/>
    <w:rsid w:val="001B0CD9"/>
    <w:rsid w:val="001B6DFE"/>
    <w:rsid w:val="001B73AB"/>
    <w:rsid w:val="001B7CCF"/>
    <w:rsid w:val="001C3A53"/>
    <w:rsid w:val="001C3B47"/>
    <w:rsid w:val="001C4F64"/>
    <w:rsid w:val="001C7F38"/>
    <w:rsid w:val="001D11CB"/>
    <w:rsid w:val="001D11E3"/>
    <w:rsid w:val="001D1DB2"/>
    <w:rsid w:val="001D2CDF"/>
    <w:rsid w:val="001E0B46"/>
    <w:rsid w:val="001E0D34"/>
    <w:rsid w:val="001E6EB7"/>
    <w:rsid w:val="001E73D1"/>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271A7"/>
    <w:rsid w:val="002333E3"/>
    <w:rsid w:val="00236755"/>
    <w:rsid w:val="00236833"/>
    <w:rsid w:val="002473F6"/>
    <w:rsid w:val="0025096D"/>
    <w:rsid w:val="00251293"/>
    <w:rsid w:val="002536E0"/>
    <w:rsid w:val="00254F5B"/>
    <w:rsid w:val="00255F48"/>
    <w:rsid w:val="002566F5"/>
    <w:rsid w:val="00256738"/>
    <w:rsid w:val="0025678A"/>
    <w:rsid w:val="00256A8B"/>
    <w:rsid w:val="00260853"/>
    <w:rsid w:val="00264360"/>
    <w:rsid w:val="00267C14"/>
    <w:rsid w:val="00271211"/>
    <w:rsid w:val="002730B4"/>
    <w:rsid w:val="002735E0"/>
    <w:rsid w:val="00280A80"/>
    <w:rsid w:val="0028118C"/>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DC9"/>
    <w:rsid w:val="002C1F53"/>
    <w:rsid w:val="002C3192"/>
    <w:rsid w:val="002C4D50"/>
    <w:rsid w:val="002D06DE"/>
    <w:rsid w:val="002D3F1F"/>
    <w:rsid w:val="002E0200"/>
    <w:rsid w:val="002F1E6E"/>
    <w:rsid w:val="002F3353"/>
    <w:rsid w:val="002F4FBB"/>
    <w:rsid w:val="002F6091"/>
    <w:rsid w:val="002F67FE"/>
    <w:rsid w:val="0030322B"/>
    <w:rsid w:val="00306CA9"/>
    <w:rsid w:val="0031218F"/>
    <w:rsid w:val="00312E97"/>
    <w:rsid w:val="00313721"/>
    <w:rsid w:val="003138A7"/>
    <w:rsid w:val="0032130E"/>
    <w:rsid w:val="00323369"/>
    <w:rsid w:val="00323A6D"/>
    <w:rsid w:val="00326C44"/>
    <w:rsid w:val="00326E84"/>
    <w:rsid w:val="00327855"/>
    <w:rsid w:val="003325EB"/>
    <w:rsid w:val="0033366F"/>
    <w:rsid w:val="00333E25"/>
    <w:rsid w:val="00336460"/>
    <w:rsid w:val="00336C12"/>
    <w:rsid w:val="003375BE"/>
    <w:rsid w:val="00337714"/>
    <w:rsid w:val="0034018B"/>
    <w:rsid w:val="003413FE"/>
    <w:rsid w:val="00343C07"/>
    <w:rsid w:val="0034410B"/>
    <w:rsid w:val="00344237"/>
    <w:rsid w:val="00346C39"/>
    <w:rsid w:val="00350D51"/>
    <w:rsid w:val="00351852"/>
    <w:rsid w:val="003523D3"/>
    <w:rsid w:val="00353031"/>
    <w:rsid w:val="00353B57"/>
    <w:rsid w:val="00356570"/>
    <w:rsid w:val="00362652"/>
    <w:rsid w:val="00365AE1"/>
    <w:rsid w:val="00365CEC"/>
    <w:rsid w:val="00373B5F"/>
    <w:rsid w:val="003810B0"/>
    <w:rsid w:val="00383400"/>
    <w:rsid w:val="00391E10"/>
    <w:rsid w:val="003941C0"/>
    <w:rsid w:val="00397BA9"/>
    <w:rsid w:val="003A0328"/>
    <w:rsid w:val="003A0961"/>
    <w:rsid w:val="003A2E2D"/>
    <w:rsid w:val="003B0326"/>
    <w:rsid w:val="003B4EDD"/>
    <w:rsid w:val="003B5FCF"/>
    <w:rsid w:val="003B7243"/>
    <w:rsid w:val="003C0078"/>
    <w:rsid w:val="003C0372"/>
    <w:rsid w:val="003C2E72"/>
    <w:rsid w:val="003C4AFF"/>
    <w:rsid w:val="003C64F5"/>
    <w:rsid w:val="003C70C1"/>
    <w:rsid w:val="003D0861"/>
    <w:rsid w:val="003D2796"/>
    <w:rsid w:val="003D3C08"/>
    <w:rsid w:val="003D48CA"/>
    <w:rsid w:val="003D4B63"/>
    <w:rsid w:val="003D71BB"/>
    <w:rsid w:val="003D7933"/>
    <w:rsid w:val="003E215D"/>
    <w:rsid w:val="003E3337"/>
    <w:rsid w:val="003E6343"/>
    <w:rsid w:val="003E75A9"/>
    <w:rsid w:val="00404DF4"/>
    <w:rsid w:val="00405C7A"/>
    <w:rsid w:val="004073C0"/>
    <w:rsid w:val="00410467"/>
    <w:rsid w:val="004112D7"/>
    <w:rsid w:val="004155EF"/>
    <w:rsid w:val="00415930"/>
    <w:rsid w:val="00422DFD"/>
    <w:rsid w:val="004248AD"/>
    <w:rsid w:val="00425659"/>
    <w:rsid w:val="004258CD"/>
    <w:rsid w:val="00431C10"/>
    <w:rsid w:val="00432FC0"/>
    <w:rsid w:val="004412FE"/>
    <w:rsid w:val="00441CF2"/>
    <w:rsid w:val="00447E4C"/>
    <w:rsid w:val="00447EB8"/>
    <w:rsid w:val="00453ED7"/>
    <w:rsid w:val="00457E95"/>
    <w:rsid w:val="00460DF6"/>
    <w:rsid w:val="004629E8"/>
    <w:rsid w:val="00462D27"/>
    <w:rsid w:val="004636C3"/>
    <w:rsid w:val="00464262"/>
    <w:rsid w:val="004667C6"/>
    <w:rsid w:val="00466D70"/>
    <w:rsid w:val="0047156C"/>
    <w:rsid w:val="004720FD"/>
    <w:rsid w:val="00475B2E"/>
    <w:rsid w:val="00475E36"/>
    <w:rsid w:val="00480718"/>
    <w:rsid w:val="00481C27"/>
    <w:rsid w:val="004907BB"/>
    <w:rsid w:val="00492779"/>
    <w:rsid w:val="00492F1F"/>
    <w:rsid w:val="00497A41"/>
    <w:rsid w:val="004B16F2"/>
    <w:rsid w:val="004B54A2"/>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17D8"/>
    <w:rsid w:val="0055358F"/>
    <w:rsid w:val="00556F11"/>
    <w:rsid w:val="005607CD"/>
    <w:rsid w:val="005609C4"/>
    <w:rsid w:val="00567CB8"/>
    <w:rsid w:val="00570CB3"/>
    <w:rsid w:val="00570F99"/>
    <w:rsid w:val="00572286"/>
    <w:rsid w:val="005727F7"/>
    <w:rsid w:val="00574BA1"/>
    <w:rsid w:val="00575CD8"/>
    <w:rsid w:val="00577ABC"/>
    <w:rsid w:val="00581DEA"/>
    <w:rsid w:val="00583A82"/>
    <w:rsid w:val="00586313"/>
    <w:rsid w:val="00590FC5"/>
    <w:rsid w:val="00591B1A"/>
    <w:rsid w:val="00594182"/>
    <w:rsid w:val="00594416"/>
    <w:rsid w:val="00594610"/>
    <w:rsid w:val="00594CDC"/>
    <w:rsid w:val="0059595B"/>
    <w:rsid w:val="005A16C3"/>
    <w:rsid w:val="005A4BF4"/>
    <w:rsid w:val="005B1BD5"/>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44BA"/>
    <w:rsid w:val="00617D4B"/>
    <w:rsid w:val="00617F1A"/>
    <w:rsid w:val="006238B2"/>
    <w:rsid w:val="0063018A"/>
    <w:rsid w:val="0063103E"/>
    <w:rsid w:val="00634293"/>
    <w:rsid w:val="006413D2"/>
    <w:rsid w:val="00642348"/>
    <w:rsid w:val="00642FB4"/>
    <w:rsid w:val="00646FD2"/>
    <w:rsid w:val="006508A5"/>
    <w:rsid w:val="006541B9"/>
    <w:rsid w:val="0065557B"/>
    <w:rsid w:val="006569F3"/>
    <w:rsid w:val="006577F3"/>
    <w:rsid w:val="00661591"/>
    <w:rsid w:val="006716AD"/>
    <w:rsid w:val="006736BE"/>
    <w:rsid w:val="00680308"/>
    <w:rsid w:val="006805CB"/>
    <w:rsid w:val="006821AC"/>
    <w:rsid w:val="00686D70"/>
    <w:rsid w:val="00690B4E"/>
    <w:rsid w:val="006953A0"/>
    <w:rsid w:val="00695889"/>
    <w:rsid w:val="006A1A60"/>
    <w:rsid w:val="006A4000"/>
    <w:rsid w:val="006A6C9A"/>
    <w:rsid w:val="006A6FE1"/>
    <w:rsid w:val="006B071F"/>
    <w:rsid w:val="006B7D6D"/>
    <w:rsid w:val="006C0352"/>
    <w:rsid w:val="006C2998"/>
    <w:rsid w:val="006C2BCD"/>
    <w:rsid w:val="006C310F"/>
    <w:rsid w:val="006C317B"/>
    <w:rsid w:val="006C7D19"/>
    <w:rsid w:val="006D1144"/>
    <w:rsid w:val="006D4341"/>
    <w:rsid w:val="006D6786"/>
    <w:rsid w:val="006D6BD1"/>
    <w:rsid w:val="006D76DE"/>
    <w:rsid w:val="006E0452"/>
    <w:rsid w:val="006E15D4"/>
    <w:rsid w:val="006E64AE"/>
    <w:rsid w:val="006F7B98"/>
    <w:rsid w:val="00704DC6"/>
    <w:rsid w:val="00710B19"/>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4509"/>
    <w:rsid w:val="00745551"/>
    <w:rsid w:val="0074587C"/>
    <w:rsid w:val="00745C48"/>
    <w:rsid w:val="00750653"/>
    <w:rsid w:val="007506D8"/>
    <w:rsid w:val="00755883"/>
    <w:rsid w:val="0076142A"/>
    <w:rsid w:val="0076251E"/>
    <w:rsid w:val="00765B6D"/>
    <w:rsid w:val="007665B5"/>
    <w:rsid w:val="00767AFC"/>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8C0"/>
    <w:rsid w:val="007B4891"/>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7F7F67"/>
    <w:rsid w:val="00800A66"/>
    <w:rsid w:val="0080230B"/>
    <w:rsid w:val="008046FA"/>
    <w:rsid w:val="0080612C"/>
    <w:rsid w:val="008065A4"/>
    <w:rsid w:val="008152CC"/>
    <w:rsid w:val="00825CAE"/>
    <w:rsid w:val="00830314"/>
    <w:rsid w:val="00834D8B"/>
    <w:rsid w:val="00835998"/>
    <w:rsid w:val="00836BAD"/>
    <w:rsid w:val="0084005F"/>
    <w:rsid w:val="00841DC6"/>
    <w:rsid w:val="00842A70"/>
    <w:rsid w:val="00843B57"/>
    <w:rsid w:val="00850265"/>
    <w:rsid w:val="008516C1"/>
    <w:rsid w:val="00852B07"/>
    <w:rsid w:val="008566B7"/>
    <w:rsid w:val="00860654"/>
    <w:rsid w:val="00864DCA"/>
    <w:rsid w:val="00864EE1"/>
    <w:rsid w:val="008654AF"/>
    <w:rsid w:val="00865B27"/>
    <w:rsid w:val="008673CB"/>
    <w:rsid w:val="00870868"/>
    <w:rsid w:val="008712CC"/>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B3A38"/>
    <w:rsid w:val="008C0B07"/>
    <w:rsid w:val="008C314A"/>
    <w:rsid w:val="008C3177"/>
    <w:rsid w:val="008C5972"/>
    <w:rsid w:val="008C643D"/>
    <w:rsid w:val="008C78D2"/>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356C9"/>
    <w:rsid w:val="00936B1C"/>
    <w:rsid w:val="009428CB"/>
    <w:rsid w:val="00947A56"/>
    <w:rsid w:val="00950FDE"/>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2E42"/>
    <w:rsid w:val="009B470E"/>
    <w:rsid w:val="009C35E2"/>
    <w:rsid w:val="009C4955"/>
    <w:rsid w:val="009C7AF2"/>
    <w:rsid w:val="009D118D"/>
    <w:rsid w:val="009D16A1"/>
    <w:rsid w:val="009D1701"/>
    <w:rsid w:val="009D6D6F"/>
    <w:rsid w:val="009E109F"/>
    <w:rsid w:val="009E2352"/>
    <w:rsid w:val="009E2EEF"/>
    <w:rsid w:val="009E3451"/>
    <w:rsid w:val="009E65FD"/>
    <w:rsid w:val="009F0843"/>
    <w:rsid w:val="009F68D1"/>
    <w:rsid w:val="00A00F12"/>
    <w:rsid w:val="00A0147F"/>
    <w:rsid w:val="00A047F9"/>
    <w:rsid w:val="00A0639E"/>
    <w:rsid w:val="00A10575"/>
    <w:rsid w:val="00A10B71"/>
    <w:rsid w:val="00A115FB"/>
    <w:rsid w:val="00A11E0C"/>
    <w:rsid w:val="00A17BBA"/>
    <w:rsid w:val="00A2109A"/>
    <w:rsid w:val="00A21B31"/>
    <w:rsid w:val="00A221DA"/>
    <w:rsid w:val="00A2464B"/>
    <w:rsid w:val="00A254DD"/>
    <w:rsid w:val="00A302D2"/>
    <w:rsid w:val="00A31158"/>
    <w:rsid w:val="00A3154C"/>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E2F43"/>
    <w:rsid w:val="00AE378E"/>
    <w:rsid w:val="00AE4D51"/>
    <w:rsid w:val="00AE5757"/>
    <w:rsid w:val="00AE6AF9"/>
    <w:rsid w:val="00AF4816"/>
    <w:rsid w:val="00AF5201"/>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BD4"/>
    <w:rsid w:val="00B52FAB"/>
    <w:rsid w:val="00B55678"/>
    <w:rsid w:val="00B6074E"/>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26B3"/>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73FD"/>
    <w:rsid w:val="00C47F38"/>
    <w:rsid w:val="00C51537"/>
    <w:rsid w:val="00C55A78"/>
    <w:rsid w:val="00C5671A"/>
    <w:rsid w:val="00C569E6"/>
    <w:rsid w:val="00C638EA"/>
    <w:rsid w:val="00C66427"/>
    <w:rsid w:val="00C70B25"/>
    <w:rsid w:val="00C70E2E"/>
    <w:rsid w:val="00C72022"/>
    <w:rsid w:val="00C72A94"/>
    <w:rsid w:val="00C734BA"/>
    <w:rsid w:val="00C757C6"/>
    <w:rsid w:val="00C7674C"/>
    <w:rsid w:val="00C81251"/>
    <w:rsid w:val="00C83FCB"/>
    <w:rsid w:val="00C84CC6"/>
    <w:rsid w:val="00C85723"/>
    <w:rsid w:val="00C87666"/>
    <w:rsid w:val="00C90B3D"/>
    <w:rsid w:val="00CA6562"/>
    <w:rsid w:val="00CB2104"/>
    <w:rsid w:val="00CB29C3"/>
    <w:rsid w:val="00CB2C39"/>
    <w:rsid w:val="00CB2D41"/>
    <w:rsid w:val="00CC66AC"/>
    <w:rsid w:val="00CD060D"/>
    <w:rsid w:val="00CD2057"/>
    <w:rsid w:val="00CD3B61"/>
    <w:rsid w:val="00CD49B7"/>
    <w:rsid w:val="00CE4F04"/>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6250A"/>
    <w:rsid w:val="00D63B60"/>
    <w:rsid w:val="00D65F3D"/>
    <w:rsid w:val="00D72982"/>
    <w:rsid w:val="00D82381"/>
    <w:rsid w:val="00D861D2"/>
    <w:rsid w:val="00D91A18"/>
    <w:rsid w:val="00D939F4"/>
    <w:rsid w:val="00D94107"/>
    <w:rsid w:val="00D950F4"/>
    <w:rsid w:val="00D96603"/>
    <w:rsid w:val="00D97FC6"/>
    <w:rsid w:val="00DA1CE9"/>
    <w:rsid w:val="00DA76EB"/>
    <w:rsid w:val="00DA7FAE"/>
    <w:rsid w:val="00DB538D"/>
    <w:rsid w:val="00DB5FCC"/>
    <w:rsid w:val="00DC5681"/>
    <w:rsid w:val="00DC5B69"/>
    <w:rsid w:val="00DC5BA4"/>
    <w:rsid w:val="00DC6B41"/>
    <w:rsid w:val="00DC75AD"/>
    <w:rsid w:val="00DD05EE"/>
    <w:rsid w:val="00DD26E8"/>
    <w:rsid w:val="00DD5E1F"/>
    <w:rsid w:val="00DD7D54"/>
    <w:rsid w:val="00DE29BF"/>
    <w:rsid w:val="00DE3662"/>
    <w:rsid w:val="00DE3C5D"/>
    <w:rsid w:val="00DE3F58"/>
    <w:rsid w:val="00DE56E6"/>
    <w:rsid w:val="00DF2216"/>
    <w:rsid w:val="00DF42AF"/>
    <w:rsid w:val="00E01110"/>
    <w:rsid w:val="00E021CC"/>
    <w:rsid w:val="00E052D2"/>
    <w:rsid w:val="00E12192"/>
    <w:rsid w:val="00E154E8"/>
    <w:rsid w:val="00E15745"/>
    <w:rsid w:val="00E218AB"/>
    <w:rsid w:val="00E21C26"/>
    <w:rsid w:val="00E21C73"/>
    <w:rsid w:val="00E22954"/>
    <w:rsid w:val="00E25FD5"/>
    <w:rsid w:val="00E2640B"/>
    <w:rsid w:val="00E31176"/>
    <w:rsid w:val="00E33900"/>
    <w:rsid w:val="00E356A6"/>
    <w:rsid w:val="00E3637F"/>
    <w:rsid w:val="00E40F19"/>
    <w:rsid w:val="00E423A9"/>
    <w:rsid w:val="00E4269F"/>
    <w:rsid w:val="00E42B7D"/>
    <w:rsid w:val="00E44656"/>
    <w:rsid w:val="00E4794C"/>
    <w:rsid w:val="00E528D3"/>
    <w:rsid w:val="00E538E2"/>
    <w:rsid w:val="00E57502"/>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5F49"/>
    <w:rsid w:val="00E96231"/>
    <w:rsid w:val="00E97792"/>
    <w:rsid w:val="00EA3178"/>
    <w:rsid w:val="00EB0ADA"/>
    <w:rsid w:val="00EB2666"/>
    <w:rsid w:val="00EB2F80"/>
    <w:rsid w:val="00EB3A63"/>
    <w:rsid w:val="00EB4D88"/>
    <w:rsid w:val="00EB6728"/>
    <w:rsid w:val="00EC3756"/>
    <w:rsid w:val="00EC5C20"/>
    <w:rsid w:val="00EC5E22"/>
    <w:rsid w:val="00EC6D2E"/>
    <w:rsid w:val="00ED1939"/>
    <w:rsid w:val="00ED6C71"/>
    <w:rsid w:val="00ED6EBB"/>
    <w:rsid w:val="00ED7353"/>
    <w:rsid w:val="00ED7983"/>
    <w:rsid w:val="00EE079A"/>
    <w:rsid w:val="00EE3B19"/>
    <w:rsid w:val="00EE5CD5"/>
    <w:rsid w:val="00EE7018"/>
    <w:rsid w:val="00EF1037"/>
    <w:rsid w:val="00EF39D3"/>
    <w:rsid w:val="00F00CC6"/>
    <w:rsid w:val="00F02A94"/>
    <w:rsid w:val="00F0380F"/>
    <w:rsid w:val="00F104D1"/>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477A4"/>
    <w:rsid w:val="00F51B82"/>
    <w:rsid w:val="00F56CE7"/>
    <w:rsid w:val="00F60524"/>
    <w:rsid w:val="00F60966"/>
    <w:rsid w:val="00F626D1"/>
    <w:rsid w:val="00F6453E"/>
    <w:rsid w:val="00F65A21"/>
    <w:rsid w:val="00F71A7E"/>
    <w:rsid w:val="00F728CD"/>
    <w:rsid w:val="00F72A4B"/>
    <w:rsid w:val="00F85D0F"/>
    <w:rsid w:val="00F864FE"/>
    <w:rsid w:val="00F878AF"/>
    <w:rsid w:val="00F90E9E"/>
    <w:rsid w:val="00F950BF"/>
    <w:rsid w:val="00F96369"/>
    <w:rsid w:val="00F979D5"/>
    <w:rsid w:val="00FA0AC6"/>
    <w:rsid w:val="00FA23E1"/>
    <w:rsid w:val="00FA35A4"/>
    <w:rsid w:val="00FA5ADF"/>
    <w:rsid w:val="00FB3248"/>
    <w:rsid w:val="00FE028E"/>
    <w:rsid w:val="00FE7164"/>
    <w:rsid w:val="00FF0DAD"/>
    <w:rsid w:val="00FF29D2"/>
    <w:rsid w:val="36F54A5C"/>
    <w:rsid w:val="3FEDCEA3"/>
    <w:rsid w:val="4DFF7C7C"/>
    <w:rsid w:val="4EEE0DF6"/>
    <w:rsid w:val="53EB49C4"/>
    <w:rsid w:val="53FB9226"/>
    <w:rsid w:val="576EB46C"/>
    <w:rsid w:val="6B76D6AC"/>
    <w:rsid w:val="7375CE46"/>
    <w:rsid w:val="77F70B11"/>
    <w:rsid w:val="78E78BBC"/>
    <w:rsid w:val="7B5F3648"/>
    <w:rsid w:val="7DBF67AF"/>
    <w:rsid w:val="7EDD5CDF"/>
    <w:rsid w:val="7FFFEF99"/>
    <w:rsid w:val="96FF81BB"/>
    <w:rsid w:val="BBFF61E6"/>
    <w:rsid w:val="BFD905E5"/>
    <w:rsid w:val="BFDE084F"/>
    <w:rsid w:val="D072A937"/>
    <w:rsid w:val="D33F51F9"/>
    <w:rsid w:val="DEF7A8F2"/>
    <w:rsid w:val="DF7F8CC4"/>
    <w:rsid w:val="EBF74C2C"/>
    <w:rsid w:val="EF3FBBF6"/>
    <w:rsid w:val="F7DFEBAC"/>
    <w:rsid w:val="FA5FD554"/>
    <w:rsid w:val="FADFF3CC"/>
    <w:rsid w:val="FBFE4BEB"/>
    <w:rsid w:val="FFD5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Plain Text"/>
    <w:basedOn w:val="1"/>
    <w:qFormat/>
    <w:uiPriority w:val="99"/>
    <w:rPr>
      <w:rFonts w:ascii="宋体" w:hAnsi="Courier New"/>
      <w:szCs w:val="20"/>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color w:val="0563C1"/>
      <w:u w:val="single"/>
    </w:rPr>
  </w:style>
  <w:style w:type="character" w:styleId="13">
    <w:name w:val="annotation reference"/>
    <w:semiHidden/>
    <w:unhideWhenUsed/>
    <w:qFormat/>
    <w:uiPriority w:val="99"/>
    <w:rPr>
      <w:sz w:val="21"/>
      <w:szCs w:val="21"/>
    </w:rPr>
  </w:style>
  <w:style w:type="character" w:customStyle="1" w:styleId="14">
    <w:name w:val="页眉 Char"/>
    <w:basedOn w:val="11"/>
    <w:link w:val="7"/>
    <w:qFormat/>
    <w:uiPriority w:val="99"/>
    <w:rPr>
      <w:rFonts w:ascii="Calibri" w:hAnsi="Calibri" w:eastAsia="宋体" w:cs="Times New Roman"/>
      <w:sz w:val="18"/>
      <w:szCs w:val="18"/>
    </w:rPr>
  </w:style>
  <w:style w:type="character" w:customStyle="1" w:styleId="15">
    <w:name w:val="页脚 Char"/>
    <w:basedOn w:val="11"/>
    <w:link w:val="6"/>
    <w:qFormat/>
    <w:uiPriority w:val="99"/>
    <w:rPr>
      <w:rFonts w:ascii="Calibri" w:hAnsi="Calibri" w:eastAsia="宋体" w:cs="Times New Roman"/>
      <w:sz w:val="18"/>
      <w:szCs w:val="18"/>
    </w:rPr>
  </w:style>
  <w:style w:type="character" w:customStyle="1" w:styleId="16">
    <w:name w:val="日期 Char"/>
    <w:basedOn w:val="11"/>
    <w:link w:val="4"/>
    <w:semiHidden/>
    <w:qFormat/>
    <w:uiPriority w:val="99"/>
    <w:rPr>
      <w:rFonts w:ascii="Calibri" w:hAnsi="Calibri" w:eastAsia="宋体" w:cs="Times New Roman"/>
    </w:rPr>
  </w:style>
  <w:style w:type="paragraph" w:styleId="17">
    <w:name w:val="List Paragraph"/>
    <w:basedOn w:val="1"/>
    <w:qFormat/>
    <w:uiPriority w:val="99"/>
    <w:pPr>
      <w:ind w:firstLine="420" w:firstLineChars="200"/>
    </w:pPr>
  </w:style>
  <w:style w:type="character" w:customStyle="1" w:styleId="18">
    <w:name w:val="批注文字 Char"/>
    <w:basedOn w:val="11"/>
    <w:link w:val="2"/>
    <w:semiHidden/>
    <w:qFormat/>
    <w:uiPriority w:val="99"/>
    <w:rPr>
      <w:rFonts w:ascii="Calibri" w:hAnsi="Calibri" w:eastAsia="宋体" w:cs="Times New Roman"/>
    </w:rPr>
  </w:style>
  <w:style w:type="character" w:customStyle="1" w:styleId="19">
    <w:name w:val="批注框文本 Char"/>
    <w:basedOn w:val="11"/>
    <w:link w:val="5"/>
    <w:semiHidden/>
    <w:qFormat/>
    <w:uiPriority w:val="99"/>
    <w:rPr>
      <w:rFonts w:ascii="Calibri" w:hAnsi="Calibri" w:eastAsia="宋体" w:cs="Times New Roman"/>
      <w:sz w:val="18"/>
      <w:szCs w:val="18"/>
    </w:rPr>
  </w:style>
  <w:style w:type="character" w:customStyle="1" w:styleId="20">
    <w:name w:val="批注主题 Char"/>
    <w:basedOn w:val="18"/>
    <w:link w:val="8"/>
    <w:semiHidden/>
    <w:qFormat/>
    <w:uiPriority w:val="99"/>
    <w:rPr>
      <w:rFonts w:ascii="Calibri" w:hAnsi="Calibri" w:eastAsia="宋体" w:cs="Times New Roman"/>
      <w:b/>
      <w:bCs/>
    </w:rPr>
  </w:style>
  <w:style w:type="paragraph" w:customStyle="1" w:styleId="2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Words>
  <Characters>1011</Characters>
  <Lines>8</Lines>
  <Paragraphs>2</Paragraphs>
  <TotalTime>102</TotalTime>
  <ScaleCrop>false</ScaleCrop>
  <LinksUpToDate>false</LinksUpToDate>
  <CharactersWithSpaces>1186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2022-07-25T15:25:00Z</dcterms:created>
  <dc:creator>蔡慧ch</dc:creator>
  <cp:lastModifiedBy>mawx</cp:lastModifiedBy>
  <cp:lastPrinted>2023-10-14T06:16:00Z</cp:lastPrinted>
  <dcterms:modified xsi:type="dcterms:W3CDTF">2023-10-14T15:27:21Z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889E9F470B28CA8891EE23651386280B</vt:lpwstr>
  </property>
</Properties>
</file>