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79" w:rsidRPr="005F2E79" w:rsidRDefault="005F2E79" w:rsidP="005F2E79">
      <w:pPr>
        <w:widowControl/>
        <w:jc w:val="center"/>
        <w:rPr>
          <w:rFonts w:ascii="Arial" w:eastAsia="宋体" w:hAnsi="Arial" w:cs="Arial"/>
          <w:b/>
          <w:bCs/>
          <w:color w:val="4E4E4E"/>
          <w:kern w:val="0"/>
          <w:sz w:val="24"/>
          <w:szCs w:val="24"/>
        </w:rPr>
      </w:pPr>
      <w:r w:rsidRPr="005F2E79">
        <w:rPr>
          <w:rFonts w:ascii="Arial" w:eastAsia="宋体" w:hAnsi="Arial" w:cs="Arial"/>
          <w:b/>
          <w:bCs/>
          <w:color w:val="4E4E4E"/>
          <w:kern w:val="0"/>
          <w:sz w:val="24"/>
          <w:szCs w:val="24"/>
        </w:rPr>
        <w:t>《深圳证券交易所深港通业务实施办法》解读</w:t>
      </w:r>
      <w:r w:rsidRPr="005F2E79">
        <w:rPr>
          <w:rFonts w:ascii="Arial" w:eastAsia="宋体" w:hAnsi="Arial" w:cs="Arial"/>
          <w:b/>
          <w:bCs/>
          <w:color w:val="4E4E4E"/>
          <w:kern w:val="0"/>
          <w:sz w:val="24"/>
          <w:szCs w:val="24"/>
        </w:rPr>
        <w:t xml:space="preserve"> </w:t>
      </w:r>
    </w:p>
    <w:p w:rsidR="005F2E79" w:rsidRPr="005F2E79" w:rsidRDefault="005F2E79" w:rsidP="005F2E79">
      <w:pPr>
        <w:widowControl/>
        <w:jc w:val="center"/>
        <w:rPr>
          <w:rFonts w:ascii="Arial" w:eastAsia="宋体" w:hAnsi="Arial" w:cs="Arial"/>
          <w:color w:val="777777"/>
          <w:kern w:val="0"/>
          <w:sz w:val="18"/>
          <w:szCs w:val="18"/>
        </w:rPr>
      </w:pPr>
      <w:r w:rsidRPr="005F2E79">
        <w:rPr>
          <w:rFonts w:ascii="Arial" w:eastAsia="宋体" w:hAnsi="Arial" w:cs="Arial"/>
          <w:color w:val="777777"/>
          <w:kern w:val="0"/>
          <w:sz w:val="18"/>
          <w:szCs w:val="18"/>
        </w:rPr>
        <w:t>日期：</w:t>
      </w:r>
      <w:r w:rsidRPr="005F2E79">
        <w:rPr>
          <w:rFonts w:ascii="Arial" w:eastAsia="宋体" w:hAnsi="Arial" w:cs="Arial"/>
          <w:color w:val="777777"/>
          <w:kern w:val="0"/>
          <w:sz w:val="18"/>
          <w:szCs w:val="18"/>
        </w:rPr>
        <w:t xml:space="preserve"> 2016-10-18 </w:t>
      </w:r>
    </w:p>
    <w:p w:rsidR="005F2E79" w:rsidRPr="005F2E79" w:rsidRDefault="005F2E79" w:rsidP="005F2E79">
      <w:pPr>
        <w:widowControl/>
        <w:spacing w:line="58" w:lineRule="atLeast"/>
        <w:jc w:val="left"/>
        <w:rPr>
          <w:rFonts w:ascii="楷体" w:eastAsia="楷体" w:hAnsi="楷体" w:cs="宋体"/>
          <w:color w:val="2E2E2E"/>
          <w:kern w:val="0"/>
          <w:sz w:val="24"/>
          <w:szCs w:val="24"/>
        </w:rPr>
      </w:pPr>
      <w:r w:rsidRPr="005F2E79">
        <w:rPr>
          <w:rFonts w:ascii="楷体" w:eastAsia="楷体" w:hAnsi="楷体" w:cs="宋体" w:hint="eastAsia"/>
          <w:color w:val="2E2E2E"/>
          <w:kern w:val="0"/>
          <w:sz w:val="24"/>
          <w:szCs w:val="24"/>
        </w:rPr>
        <w:t>编者按：</w:t>
      </w:r>
    </w:p>
    <w:p w:rsidR="005F2E79" w:rsidRPr="005F2E79" w:rsidRDefault="005F2E79" w:rsidP="005F2E79">
      <w:pPr>
        <w:widowControl/>
        <w:spacing w:line="58" w:lineRule="atLeast"/>
        <w:ind w:firstLineChars="200" w:firstLine="480"/>
        <w:jc w:val="left"/>
        <w:rPr>
          <w:rFonts w:ascii="楷体" w:eastAsia="楷体" w:hAnsi="楷体" w:cs="宋体" w:hint="eastAsia"/>
          <w:color w:val="2E2E2E"/>
          <w:kern w:val="0"/>
          <w:sz w:val="24"/>
          <w:szCs w:val="24"/>
        </w:rPr>
      </w:pPr>
      <w:r w:rsidRPr="005F2E79">
        <w:rPr>
          <w:rFonts w:ascii="楷体" w:eastAsia="楷体" w:hAnsi="楷体" w:cs="宋体" w:hint="eastAsia"/>
          <w:color w:val="2E2E2E"/>
          <w:kern w:val="0"/>
          <w:sz w:val="24"/>
          <w:szCs w:val="24"/>
        </w:rPr>
        <w:t>深港通，是内地与香港金融市场互联互通的又一重大举措，标志着我国资本市场在国际化和市场化方向上又迈出了坚实一步。为帮助投资者全面提升对深港通制度安排、投资风险、两地市场的理解，特开设深港通投资者教育专栏，力求解答投资者的疑惑，敬请广大投资者关注。</w:t>
      </w:r>
    </w:p>
    <w:p w:rsidR="005F2E79" w:rsidRPr="005F2E79" w:rsidRDefault="005F2E79" w:rsidP="005F2E79">
      <w:pPr>
        <w:widowControl/>
        <w:spacing w:line="58" w:lineRule="atLeast"/>
        <w:ind w:firstLineChars="200" w:firstLine="360"/>
        <w:jc w:val="left"/>
        <w:rPr>
          <w:rFonts w:ascii="楷体" w:eastAsia="楷体" w:hAnsi="楷体" w:cs="宋体" w:hint="eastAsia"/>
          <w:color w:val="2E2E2E"/>
          <w:kern w:val="0"/>
          <w:sz w:val="18"/>
          <w:szCs w:val="18"/>
        </w:rPr>
      </w:pPr>
    </w:p>
    <w:p w:rsidR="005F2E79" w:rsidRPr="005F2E79" w:rsidRDefault="005F2E79" w:rsidP="005F2E79">
      <w:pPr>
        <w:widowControl/>
        <w:spacing w:line="58" w:lineRule="atLeast"/>
        <w:jc w:val="center"/>
        <w:rPr>
          <w:rFonts w:ascii="宋体" w:eastAsia="宋体" w:hAnsi="宋体" w:cs="宋体" w:hint="eastAsia"/>
          <w:b/>
          <w:color w:val="2E2E2E"/>
          <w:kern w:val="0"/>
          <w:sz w:val="18"/>
          <w:szCs w:val="18"/>
        </w:rPr>
      </w:pPr>
      <w:r w:rsidRPr="005F2E79">
        <w:rPr>
          <w:rFonts w:ascii="Calibri" w:eastAsia="宋体" w:hAnsi="Calibri" w:cs="宋体" w:hint="eastAsia"/>
          <w:b/>
          <w:color w:val="2E2E2E"/>
          <w:kern w:val="0"/>
          <w:sz w:val="18"/>
          <w:szCs w:val="18"/>
        </w:rPr>
        <w:t>《深圳证券交易所深港通业务实施办法》解读</w:t>
      </w:r>
    </w:p>
    <w:p w:rsidR="005F2E79" w:rsidRPr="005F2E79" w:rsidRDefault="005F2E79" w:rsidP="005F2E79">
      <w:pPr>
        <w:widowControl/>
        <w:spacing w:line="58" w:lineRule="atLeast"/>
        <w:jc w:val="center"/>
        <w:rPr>
          <w:rFonts w:ascii="宋体" w:eastAsia="宋体" w:hAnsi="宋体" w:cs="宋体"/>
          <w:b/>
          <w:color w:val="2E2E2E"/>
          <w:kern w:val="0"/>
          <w:sz w:val="18"/>
          <w:szCs w:val="18"/>
        </w:rPr>
      </w:pPr>
      <w:r w:rsidRPr="005F2E79">
        <w:rPr>
          <w:rFonts w:ascii="Calibri" w:eastAsia="宋体" w:hAnsi="Calibri" w:cs="宋体" w:hint="eastAsia"/>
          <w:b/>
          <w:color w:val="2E2E2E"/>
          <w:kern w:val="0"/>
          <w:sz w:val="18"/>
          <w:szCs w:val="18"/>
        </w:rPr>
        <w:t>深交所投资者教育中心</w:t>
      </w:r>
    </w:p>
    <w:p w:rsidR="005F2E79" w:rsidRPr="005F2E79" w:rsidRDefault="005F2E79" w:rsidP="005F2E79">
      <w:pPr>
        <w:widowControl/>
        <w:spacing w:line="58" w:lineRule="atLeast"/>
        <w:jc w:val="center"/>
        <w:rPr>
          <w:rFonts w:ascii="宋体" w:eastAsia="宋体" w:hAnsi="宋体" w:cs="宋体"/>
          <w:b/>
          <w:color w:val="2E2E2E"/>
          <w:kern w:val="0"/>
          <w:sz w:val="18"/>
          <w:szCs w:val="18"/>
        </w:rPr>
      </w:pPr>
    </w:p>
    <w:p w:rsidR="005F2E79" w:rsidRPr="005F2E79" w:rsidRDefault="005F2E79" w:rsidP="005F2E79">
      <w:pPr>
        <w:widowControl/>
        <w:spacing w:line="58" w:lineRule="atLeast"/>
        <w:ind w:firstLineChars="200" w:firstLine="360"/>
        <w:jc w:val="left"/>
        <w:rPr>
          <w:rFonts w:ascii="Calibri" w:eastAsia="宋体" w:hAnsi="Calibri" w:cs="Calibri"/>
          <w:color w:val="2E2E2E"/>
          <w:kern w:val="0"/>
          <w:sz w:val="18"/>
          <w:szCs w:val="18"/>
        </w:rPr>
      </w:pPr>
      <w:r w:rsidRPr="005F2E79">
        <w:rPr>
          <w:rFonts w:ascii="Calibri" w:eastAsia="宋体" w:hAnsi="Calibri" w:cs="宋体" w:hint="eastAsia"/>
          <w:color w:val="2E2E2E"/>
          <w:kern w:val="0"/>
          <w:sz w:val="18"/>
          <w:szCs w:val="18"/>
        </w:rPr>
        <w:t>为规范深港股票市场互联互通机制（以下简称“深港通”）业务开展，保护投资者合法权益，深圳证券交易所（以下简称“深交所”）于</w:t>
      </w:r>
      <w:r w:rsidRPr="005F2E79">
        <w:rPr>
          <w:rFonts w:ascii="Calibri" w:eastAsia="宋体" w:hAnsi="Calibri" w:cs="Calibri"/>
          <w:color w:val="2E2E2E"/>
          <w:kern w:val="0"/>
          <w:sz w:val="18"/>
          <w:szCs w:val="18"/>
        </w:rPr>
        <w:t>2016</w:t>
      </w:r>
      <w:r w:rsidRPr="005F2E79">
        <w:rPr>
          <w:rFonts w:ascii="Calibri" w:eastAsia="宋体" w:hAnsi="Calibri" w:cs="宋体" w:hint="eastAsia"/>
          <w:color w:val="2E2E2E"/>
          <w:kern w:val="0"/>
          <w:sz w:val="18"/>
          <w:szCs w:val="18"/>
        </w:rPr>
        <w:t>年</w:t>
      </w:r>
      <w:r w:rsidRPr="005F2E79">
        <w:rPr>
          <w:rFonts w:ascii="Calibri" w:eastAsia="宋体" w:hAnsi="Calibri" w:cs="Calibri"/>
          <w:color w:val="2E2E2E"/>
          <w:kern w:val="0"/>
          <w:sz w:val="18"/>
          <w:szCs w:val="18"/>
        </w:rPr>
        <w:t>9</w:t>
      </w:r>
      <w:r w:rsidRPr="005F2E79">
        <w:rPr>
          <w:rFonts w:ascii="Calibri" w:eastAsia="宋体" w:hAnsi="Calibri" w:cs="宋体" w:hint="eastAsia"/>
          <w:color w:val="2E2E2E"/>
          <w:kern w:val="0"/>
          <w:sz w:val="18"/>
          <w:szCs w:val="18"/>
        </w:rPr>
        <w:t>月</w:t>
      </w:r>
      <w:r w:rsidRPr="005F2E79">
        <w:rPr>
          <w:rFonts w:ascii="Calibri" w:eastAsia="宋体" w:hAnsi="Calibri" w:cs="Calibri"/>
          <w:color w:val="2E2E2E"/>
          <w:kern w:val="0"/>
          <w:sz w:val="18"/>
          <w:szCs w:val="18"/>
        </w:rPr>
        <w:t>30</w:t>
      </w:r>
      <w:r w:rsidRPr="005F2E79">
        <w:rPr>
          <w:rFonts w:ascii="Calibri" w:eastAsia="宋体" w:hAnsi="Calibri" w:cs="宋体" w:hint="eastAsia"/>
          <w:color w:val="2E2E2E"/>
          <w:kern w:val="0"/>
          <w:sz w:val="18"/>
          <w:szCs w:val="18"/>
        </w:rPr>
        <w:t>日正式发布了与深港通相关的八大业务规则。其中的《深圳证券交易所深港通业务实施办法》（以下简称“《实施办法》”），作为深港通基础性业务规则，详细规定了深港通业务的基本模式和具体要求，是深交所会员和投资者参与深港通业务的主要规则依据。为帮助会员单位、投资者等市场主体更好的理解《实施办法》，现对规则中的重点内容作以下解读：</w:t>
      </w:r>
      <w:r w:rsidRPr="005F2E79">
        <w:rPr>
          <w:rFonts w:ascii="Calibri" w:eastAsia="宋体" w:hAnsi="Calibri" w:cs="Calibri"/>
          <w:color w:val="2E2E2E"/>
          <w:kern w:val="0"/>
          <w:sz w:val="18"/>
          <w:szCs w:val="18"/>
        </w:rPr>
        <w:t xml:space="preserve"> </w:t>
      </w:r>
    </w:p>
    <w:p w:rsidR="005F2E79" w:rsidRPr="005F2E79" w:rsidRDefault="005F2E79" w:rsidP="005F2E79">
      <w:pPr>
        <w:widowControl/>
        <w:spacing w:line="58" w:lineRule="atLeast"/>
        <w:ind w:firstLineChars="200" w:firstLine="361"/>
        <w:jc w:val="left"/>
        <w:rPr>
          <w:rFonts w:ascii="宋体" w:eastAsia="宋体" w:hAnsi="宋体" w:cs="宋体"/>
          <w:b/>
          <w:color w:val="2E2E2E"/>
          <w:kern w:val="0"/>
          <w:sz w:val="18"/>
          <w:szCs w:val="18"/>
        </w:rPr>
      </w:pPr>
      <w:r w:rsidRPr="005F2E79">
        <w:rPr>
          <w:rFonts w:ascii="Calibri" w:eastAsia="宋体" w:hAnsi="Calibri" w:cs="宋体" w:hint="eastAsia"/>
          <w:b/>
          <w:color w:val="2E2E2E"/>
          <w:kern w:val="0"/>
          <w:sz w:val="18"/>
          <w:szCs w:val="18"/>
        </w:rPr>
        <w:t>一、《实施办法》规定了哪些基本内容？</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作为规范深港通业务的主要规则，《实施办法》共有六章一百二十五条内容，全面而详细地规定了深港通业务的基本模式和具体要求：</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一是深股通交易。明确了香港联合交易所有限公司（以下简称“联交所”）证券服务公司作为交易参与人从事深股通业务的相关规定；深股通标的股票范围及调入调出规则；交易方式、订单类型、保证金交易和担保卖空等交易特别事项安排；每日额度控制公式及达到额度上限时的处理方式；达到持股比例限制时的措施等内容。</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二是深港通下的港股通（以下简称“港股通”）交易。明确了深交所会员参与港股通业务的相关规定；港股通标的股票范围及调入调出规则；港股通股票交易方式、订单类型等港股通交易相关事项；每日额度控制公式及达到额度上限时的处理方式；港股通投资者适当性要求等内容。</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三是交易异常情况处理。对于深股通和港股通中可能发生的交易异常情况，明确了处置主体、处置措施、市场公告、责任豁免等事项。</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四是自律监管。针对深港通可能出现的异常交易行为、违反信息披露要求行为及其他违规行为，明确了认定标准、交易监控责任主体、违规行为调查等内容，并且对跨境监管合作中的相关事项进行了规定。</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五是附则及其他事项。主要包括相关术语的解释，信息披露的法律依据和查询方式，名义持有人投票方式，配股、供股和公开配售的要求、深股通投资者适当性要求、港股通转托管、融资融券、交收货币等具体内容。</w:t>
      </w:r>
    </w:p>
    <w:p w:rsidR="005F2E79" w:rsidRPr="005F2E79" w:rsidRDefault="005F2E79" w:rsidP="005F2E79">
      <w:pPr>
        <w:widowControl/>
        <w:spacing w:line="58" w:lineRule="atLeast"/>
        <w:ind w:firstLineChars="200" w:firstLine="361"/>
        <w:jc w:val="left"/>
        <w:rPr>
          <w:rFonts w:ascii="宋体" w:eastAsia="宋体" w:hAnsi="宋体" w:cs="宋体"/>
          <w:b/>
          <w:color w:val="2E2E2E"/>
          <w:kern w:val="0"/>
          <w:sz w:val="18"/>
          <w:szCs w:val="18"/>
        </w:rPr>
      </w:pPr>
      <w:r w:rsidRPr="005F2E79">
        <w:rPr>
          <w:rFonts w:ascii="Calibri" w:eastAsia="宋体" w:hAnsi="Calibri" w:cs="宋体" w:hint="eastAsia"/>
          <w:b/>
          <w:color w:val="2E2E2E"/>
          <w:kern w:val="0"/>
          <w:sz w:val="18"/>
          <w:szCs w:val="18"/>
        </w:rPr>
        <w:t>二、《实施办法》规则制定遵循了哪些基本原则？</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一是与沪港通保持基本框架和模式不变。沪港通推出已近两年，业务运作较为成熟有效，规则体系也已被投资者广泛熟知。深港通方案设计充分尊重市场习惯，保持制度连续性，并充分吸取了《上海证券交易所沪港通试点办法》的既有经验和做法，主体内容及体例架构与沪港通基本一致。</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二是突出标的证券特色，注重业务操作性。结合中小市值股票的市场特点，深港通在标的股票范围、标的调整机制、投资额度管理等方面进行了相应设计，包括引入市值筛选标准，明确标的调整机制中的市值标准适用情形，不实行跨境投资额度总量管理等。</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三是紧跟市场变化，确保规则协调一致。针对联交所</w:t>
      </w:r>
      <w:r w:rsidRPr="005F2E79">
        <w:rPr>
          <w:rFonts w:ascii="Calibri" w:eastAsia="宋体" w:hAnsi="Calibri" w:cs="Calibri"/>
          <w:color w:val="2E2E2E"/>
          <w:kern w:val="0"/>
          <w:sz w:val="18"/>
          <w:szCs w:val="18"/>
        </w:rPr>
        <w:t>2016</w:t>
      </w:r>
      <w:r w:rsidRPr="005F2E79">
        <w:rPr>
          <w:rFonts w:ascii="Calibri" w:eastAsia="宋体" w:hAnsi="Calibri" w:cs="宋体" w:hint="eastAsia"/>
          <w:color w:val="2E2E2E"/>
          <w:kern w:val="0"/>
          <w:sz w:val="18"/>
          <w:szCs w:val="18"/>
        </w:rPr>
        <w:t>年</w:t>
      </w:r>
      <w:r w:rsidRPr="005F2E79">
        <w:rPr>
          <w:rFonts w:ascii="Calibri" w:eastAsia="宋体" w:hAnsi="Calibri" w:cs="Calibri"/>
          <w:color w:val="2E2E2E"/>
          <w:kern w:val="0"/>
          <w:sz w:val="18"/>
          <w:szCs w:val="18"/>
        </w:rPr>
        <w:t>7</w:t>
      </w:r>
      <w:r w:rsidRPr="005F2E79">
        <w:rPr>
          <w:rFonts w:ascii="Calibri" w:eastAsia="宋体" w:hAnsi="Calibri" w:cs="宋体" w:hint="eastAsia"/>
          <w:color w:val="2E2E2E"/>
          <w:kern w:val="0"/>
          <w:sz w:val="18"/>
          <w:szCs w:val="18"/>
        </w:rPr>
        <w:t>月</w:t>
      </w:r>
      <w:r w:rsidRPr="005F2E79">
        <w:rPr>
          <w:rFonts w:ascii="Calibri" w:eastAsia="宋体" w:hAnsi="Calibri" w:cs="Calibri"/>
          <w:color w:val="2E2E2E"/>
          <w:kern w:val="0"/>
          <w:sz w:val="18"/>
          <w:szCs w:val="18"/>
        </w:rPr>
        <w:t>25</w:t>
      </w:r>
      <w:r w:rsidRPr="005F2E79">
        <w:rPr>
          <w:rFonts w:ascii="Calibri" w:eastAsia="宋体" w:hAnsi="Calibri" w:cs="宋体" w:hint="eastAsia"/>
          <w:color w:val="2E2E2E"/>
          <w:kern w:val="0"/>
          <w:sz w:val="18"/>
          <w:szCs w:val="18"/>
        </w:rPr>
        <w:t>日引入“收市竞价交易时段”的交易机制重大调整，对相关港股通交易机制条款作出适当性表述，与联交所规则协调一致，确保投资者充分了解市场变化。</w:t>
      </w:r>
    </w:p>
    <w:p w:rsidR="005F2E79" w:rsidRPr="005F2E79" w:rsidRDefault="005F2E79" w:rsidP="005F2E79">
      <w:pPr>
        <w:widowControl/>
        <w:spacing w:line="58" w:lineRule="atLeast"/>
        <w:ind w:firstLineChars="200" w:firstLine="361"/>
        <w:jc w:val="left"/>
        <w:rPr>
          <w:rFonts w:ascii="宋体" w:eastAsia="宋体" w:hAnsi="宋体" w:cs="宋体"/>
          <w:b/>
          <w:color w:val="2E2E2E"/>
          <w:kern w:val="0"/>
          <w:sz w:val="18"/>
          <w:szCs w:val="18"/>
        </w:rPr>
      </w:pPr>
      <w:r w:rsidRPr="005F2E79">
        <w:rPr>
          <w:rFonts w:ascii="Calibri" w:eastAsia="宋体" w:hAnsi="Calibri" w:cs="宋体" w:hint="eastAsia"/>
          <w:b/>
          <w:color w:val="2E2E2E"/>
          <w:kern w:val="0"/>
          <w:sz w:val="18"/>
          <w:szCs w:val="18"/>
        </w:rPr>
        <w:t>三、深港通的标的股票范围是怎样规定的？</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lastRenderedPageBreak/>
        <w:t>深股通标的股票涵盖了部分主板、中小板和创业板上市公司，凸显了新兴行业集中、成长特征鲜明的市场特色，充分体现了深交所多层次资本市场特点。港股通标的股票也相应扩大了范围，新增了符合一定市值标准的恒生综合小型股指数成份股。具体而言规定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660"/>
        <w:gridCol w:w="3660"/>
      </w:tblGrid>
      <w:tr w:rsidR="005F2E79" w:rsidRPr="005F2E79" w:rsidTr="005F2E79">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 xml:space="preserve">　</w:t>
            </w:r>
          </w:p>
        </w:tc>
        <w:tc>
          <w:tcPr>
            <w:tcW w:w="3660"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深股通</w:t>
            </w:r>
          </w:p>
        </w:tc>
        <w:tc>
          <w:tcPr>
            <w:tcW w:w="3660" w:type="dxa"/>
            <w:tcBorders>
              <w:top w:val="single" w:sz="4" w:space="0" w:color="auto"/>
              <w:left w:val="single" w:sz="4" w:space="0" w:color="auto"/>
              <w:bottom w:val="single" w:sz="4" w:space="0" w:color="auto"/>
              <w:right w:val="single" w:sz="4" w:space="0" w:color="auto"/>
            </w:tcBorders>
            <w:shd w:val="clear" w:color="auto" w:fill="8DB4E2"/>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港股通</w:t>
            </w:r>
          </w:p>
        </w:tc>
      </w:tr>
      <w:tr w:rsidR="005F2E79" w:rsidRPr="005F2E79" w:rsidTr="005F2E79">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包括</w:t>
            </w:r>
          </w:p>
        </w:tc>
        <w:tc>
          <w:tcPr>
            <w:tcW w:w="3660" w:type="dxa"/>
            <w:tcBorders>
              <w:top w:val="single" w:sz="4" w:space="0" w:color="auto"/>
              <w:left w:val="single" w:sz="4" w:space="0" w:color="auto"/>
              <w:bottom w:val="single" w:sz="4" w:space="0" w:color="auto"/>
              <w:right w:val="single" w:sz="4" w:space="0" w:color="auto"/>
            </w:tcBorders>
            <w:shd w:val="clear" w:color="auto" w:fill="FDE9D9"/>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1</w:t>
            </w:r>
            <w:r w:rsidRPr="005F2E79">
              <w:rPr>
                <w:rFonts w:ascii="Calibri" w:eastAsia="宋体" w:hAnsi="Calibri" w:cs="宋体" w:hint="eastAsia"/>
                <w:color w:val="2E2E2E"/>
                <w:kern w:val="0"/>
                <w:sz w:val="18"/>
                <w:szCs w:val="18"/>
              </w:rPr>
              <w:t>）深证成份指数及深证中小创新指数的成份股，且定期调整考察截止日前六个月</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股日均市值不低于人民币</w:t>
            </w:r>
            <w:r w:rsidRPr="005F2E79">
              <w:rPr>
                <w:rFonts w:ascii="Calibri" w:eastAsia="宋体" w:hAnsi="Calibri" w:cs="Calibri"/>
                <w:color w:val="2E2E2E"/>
                <w:kern w:val="0"/>
                <w:sz w:val="18"/>
                <w:szCs w:val="18"/>
              </w:rPr>
              <w:t>60</w:t>
            </w:r>
            <w:r w:rsidRPr="005F2E79">
              <w:rPr>
                <w:rFonts w:ascii="Calibri" w:eastAsia="宋体" w:hAnsi="Calibri" w:cs="宋体" w:hint="eastAsia"/>
                <w:color w:val="2E2E2E"/>
                <w:kern w:val="0"/>
                <w:sz w:val="18"/>
                <w:szCs w:val="18"/>
              </w:rPr>
              <w:t>亿元</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2</w:t>
            </w: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A+H</w:t>
            </w:r>
            <w:r w:rsidRPr="005F2E79">
              <w:rPr>
                <w:rFonts w:ascii="Calibri" w:eastAsia="宋体" w:hAnsi="Calibri" w:cs="宋体" w:hint="eastAsia"/>
                <w:color w:val="2E2E2E"/>
                <w:kern w:val="0"/>
                <w:sz w:val="18"/>
                <w:szCs w:val="18"/>
              </w:rPr>
              <w:t>股上市公司在深交所上市的</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w:t>
            </w:r>
          </w:p>
        </w:tc>
        <w:tc>
          <w:tcPr>
            <w:tcW w:w="3660" w:type="dxa"/>
            <w:tcBorders>
              <w:top w:val="single" w:sz="4" w:space="0" w:color="auto"/>
              <w:left w:val="single" w:sz="4" w:space="0" w:color="auto"/>
              <w:bottom w:val="single" w:sz="4" w:space="0" w:color="auto"/>
              <w:right w:val="single" w:sz="4" w:space="0" w:color="auto"/>
            </w:tcBorders>
            <w:shd w:val="clear" w:color="auto" w:fill="DAEEF3"/>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1</w:t>
            </w:r>
            <w:r w:rsidRPr="005F2E79">
              <w:rPr>
                <w:rFonts w:ascii="Calibri" w:eastAsia="宋体" w:hAnsi="Calibri" w:cs="宋体" w:hint="eastAsia"/>
                <w:color w:val="2E2E2E"/>
                <w:kern w:val="0"/>
                <w:sz w:val="18"/>
                <w:szCs w:val="18"/>
              </w:rPr>
              <w:t>）恒生综合大型、中型、小型股指数成份股，且小型股指数成份股定期调整考察截止日十二个月港股平均月末市值不低于港币</w:t>
            </w:r>
            <w:r w:rsidRPr="005F2E79">
              <w:rPr>
                <w:rFonts w:ascii="Calibri" w:eastAsia="宋体" w:hAnsi="Calibri" w:cs="Calibri"/>
                <w:color w:val="2E2E2E"/>
                <w:kern w:val="0"/>
                <w:sz w:val="18"/>
                <w:szCs w:val="18"/>
              </w:rPr>
              <w:t>50</w:t>
            </w:r>
            <w:r w:rsidRPr="005F2E79">
              <w:rPr>
                <w:rFonts w:ascii="Calibri" w:eastAsia="宋体" w:hAnsi="Calibri" w:cs="宋体" w:hint="eastAsia"/>
                <w:color w:val="2E2E2E"/>
                <w:kern w:val="0"/>
                <w:sz w:val="18"/>
                <w:szCs w:val="18"/>
              </w:rPr>
              <w:t>亿元（</w:t>
            </w:r>
            <w:r w:rsidRPr="005F2E79">
              <w:rPr>
                <w:rFonts w:ascii="Calibri" w:eastAsia="宋体" w:hAnsi="Calibri" w:cs="Calibri"/>
                <w:color w:val="2E2E2E"/>
                <w:kern w:val="0"/>
                <w:sz w:val="18"/>
                <w:szCs w:val="18"/>
              </w:rPr>
              <w:t>2</w:t>
            </w: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A+H</w:t>
            </w:r>
            <w:r w:rsidRPr="005F2E79">
              <w:rPr>
                <w:rFonts w:ascii="Calibri" w:eastAsia="宋体" w:hAnsi="Calibri" w:cs="宋体" w:hint="eastAsia"/>
                <w:color w:val="2E2E2E"/>
                <w:kern w:val="0"/>
                <w:sz w:val="18"/>
                <w:szCs w:val="18"/>
              </w:rPr>
              <w:t>股上市公司在联交所上市的</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w:t>
            </w:r>
          </w:p>
        </w:tc>
      </w:tr>
      <w:tr w:rsidR="005F2E79" w:rsidRPr="005F2E79" w:rsidTr="005F2E79">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不包括</w:t>
            </w:r>
          </w:p>
        </w:tc>
        <w:tc>
          <w:tcPr>
            <w:tcW w:w="3660" w:type="dxa"/>
            <w:tcBorders>
              <w:top w:val="single" w:sz="4" w:space="0" w:color="auto"/>
              <w:left w:val="single" w:sz="4" w:space="0" w:color="auto"/>
              <w:bottom w:val="single" w:sz="4" w:space="0" w:color="auto"/>
              <w:right w:val="single" w:sz="4" w:space="0" w:color="auto"/>
            </w:tcBorders>
            <w:shd w:val="clear" w:color="auto" w:fill="FDE9D9"/>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1</w:t>
            </w:r>
            <w:r w:rsidRPr="005F2E79">
              <w:rPr>
                <w:rFonts w:ascii="Calibri" w:eastAsia="宋体" w:hAnsi="Calibri" w:cs="宋体" w:hint="eastAsia"/>
                <w:color w:val="2E2E2E"/>
                <w:kern w:val="0"/>
                <w:sz w:val="18"/>
                <w:szCs w:val="18"/>
              </w:rPr>
              <w:t>）被深交所实施风险警示的股票</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2</w:t>
            </w:r>
            <w:r w:rsidRPr="005F2E79">
              <w:rPr>
                <w:rFonts w:ascii="Calibri" w:eastAsia="宋体" w:hAnsi="Calibri" w:cs="宋体" w:hint="eastAsia"/>
                <w:color w:val="2E2E2E"/>
                <w:kern w:val="0"/>
                <w:sz w:val="18"/>
                <w:szCs w:val="18"/>
              </w:rPr>
              <w:t>）被深交所暂停上市的股票</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3</w:t>
            </w:r>
            <w:r w:rsidRPr="005F2E79">
              <w:rPr>
                <w:rFonts w:ascii="Calibri" w:eastAsia="宋体" w:hAnsi="Calibri" w:cs="宋体" w:hint="eastAsia"/>
                <w:color w:val="2E2E2E"/>
                <w:kern w:val="0"/>
                <w:sz w:val="18"/>
                <w:szCs w:val="18"/>
              </w:rPr>
              <w:t>）退市整理期股票</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4</w:t>
            </w:r>
            <w:r w:rsidRPr="005F2E79">
              <w:rPr>
                <w:rFonts w:ascii="Calibri" w:eastAsia="宋体" w:hAnsi="Calibri" w:cs="宋体" w:hint="eastAsia"/>
                <w:color w:val="2E2E2E"/>
                <w:kern w:val="0"/>
                <w:sz w:val="18"/>
                <w:szCs w:val="18"/>
              </w:rPr>
              <w:t>）以外币报价交易的股票（即</w:t>
            </w:r>
            <w:r w:rsidRPr="005F2E79">
              <w:rPr>
                <w:rFonts w:ascii="Calibri" w:eastAsia="宋体" w:hAnsi="Calibri" w:cs="Calibri"/>
                <w:color w:val="2E2E2E"/>
                <w:kern w:val="0"/>
                <w:sz w:val="18"/>
                <w:szCs w:val="18"/>
              </w:rPr>
              <w:t>B</w:t>
            </w:r>
            <w:r w:rsidRPr="005F2E79">
              <w:rPr>
                <w:rFonts w:ascii="Calibri" w:eastAsia="宋体" w:hAnsi="Calibri" w:cs="宋体" w:hint="eastAsia"/>
                <w:color w:val="2E2E2E"/>
                <w:kern w:val="0"/>
                <w:sz w:val="18"/>
                <w:szCs w:val="18"/>
              </w:rPr>
              <w:t>股）</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5</w:t>
            </w:r>
            <w:r w:rsidRPr="005F2E79">
              <w:rPr>
                <w:rFonts w:ascii="Calibri" w:eastAsia="宋体" w:hAnsi="Calibri" w:cs="宋体" w:hint="eastAsia"/>
                <w:color w:val="2E2E2E"/>
                <w:kern w:val="0"/>
                <w:sz w:val="18"/>
                <w:szCs w:val="18"/>
              </w:rPr>
              <w:t>）深交所认定的其他特殊情形</w:t>
            </w:r>
          </w:p>
        </w:tc>
        <w:tc>
          <w:tcPr>
            <w:tcW w:w="3660" w:type="dxa"/>
            <w:tcBorders>
              <w:top w:val="single" w:sz="4" w:space="0" w:color="auto"/>
              <w:left w:val="single" w:sz="4" w:space="0" w:color="auto"/>
              <w:bottom w:val="single" w:sz="4" w:space="0" w:color="auto"/>
              <w:right w:val="single" w:sz="4" w:space="0" w:color="auto"/>
            </w:tcBorders>
            <w:shd w:val="clear" w:color="auto" w:fill="DAEEF3"/>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1</w:t>
            </w:r>
            <w:r w:rsidRPr="005F2E79">
              <w:rPr>
                <w:rFonts w:ascii="Calibri" w:eastAsia="宋体" w:hAnsi="Calibri" w:cs="宋体" w:hint="eastAsia"/>
                <w:color w:val="2E2E2E"/>
                <w:kern w:val="0"/>
                <w:sz w:val="18"/>
                <w:szCs w:val="18"/>
              </w:rPr>
              <w:t>）在深交所上市的</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股被实施风险警示、被暂停上市或者进入退市整理期的</w:t>
            </w:r>
            <w:r w:rsidRPr="005F2E79">
              <w:rPr>
                <w:rFonts w:ascii="Calibri" w:eastAsia="宋体" w:hAnsi="Calibri" w:cs="Calibri"/>
                <w:color w:val="2E2E2E"/>
                <w:kern w:val="0"/>
                <w:sz w:val="18"/>
                <w:szCs w:val="18"/>
              </w:rPr>
              <w:t>A+H</w:t>
            </w:r>
            <w:r w:rsidRPr="005F2E79">
              <w:rPr>
                <w:rFonts w:ascii="Calibri" w:eastAsia="宋体" w:hAnsi="Calibri" w:cs="宋体" w:hint="eastAsia"/>
                <w:color w:val="2E2E2E"/>
                <w:kern w:val="0"/>
                <w:sz w:val="18"/>
                <w:szCs w:val="18"/>
              </w:rPr>
              <w:t>股上市公司的相应</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2</w:t>
            </w: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股在上交所风险警示板交易或被暂停上市的</w:t>
            </w:r>
            <w:r w:rsidRPr="005F2E79">
              <w:rPr>
                <w:rFonts w:ascii="Calibri" w:eastAsia="宋体" w:hAnsi="Calibri" w:cs="Calibri"/>
                <w:color w:val="2E2E2E"/>
                <w:kern w:val="0"/>
                <w:sz w:val="18"/>
                <w:szCs w:val="18"/>
              </w:rPr>
              <w:t>A+H</w:t>
            </w:r>
            <w:r w:rsidRPr="005F2E79">
              <w:rPr>
                <w:rFonts w:ascii="Calibri" w:eastAsia="宋体" w:hAnsi="Calibri" w:cs="宋体" w:hint="eastAsia"/>
                <w:color w:val="2E2E2E"/>
                <w:kern w:val="0"/>
                <w:sz w:val="18"/>
                <w:szCs w:val="18"/>
              </w:rPr>
              <w:t>股上市公司的相应</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3</w:t>
            </w:r>
            <w:r w:rsidRPr="005F2E79">
              <w:rPr>
                <w:rFonts w:ascii="Calibri" w:eastAsia="宋体" w:hAnsi="Calibri" w:cs="宋体" w:hint="eastAsia"/>
                <w:color w:val="2E2E2E"/>
                <w:kern w:val="0"/>
                <w:sz w:val="18"/>
                <w:szCs w:val="18"/>
              </w:rPr>
              <w:t>）在联交所以港币以外货币报价交易的股票</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w:t>
            </w:r>
            <w:r w:rsidRPr="005F2E79">
              <w:rPr>
                <w:rFonts w:ascii="Calibri" w:eastAsia="宋体" w:hAnsi="Calibri" w:cs="Calibri"/>
                <w:color w:val="2E2E2E"/>
                <w:kern w:val="0"/>
                <w:sz w:val="18"/>
                <w:szCs w:val="18"/>
              </w:rPr>
              <w:t>4</w:t>
            </w:r>
            <w:r w:rsidRPr="005F2E79">
              <w:rPr>
                <w:rFonts w:ascii="Calibri" w:eastAsia="宋体" w:hAnsi="Calibri" w:cs="宋体" w:hint="eastAsia"/>
                <w:color w:val="2E2E2E"/>
                <w:kern w:val="0"/>
                <w:sz w:val="18"/>
                <w:szCs w:val="18"/>
              </w:rPr>
              <w:t>）深交所认定的其他特殊情形</w:t>
            </w:r>
          </w:p>
        </w:tc>
      </w:tr>
    </w:tbl>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p>
    <w:p w:rsidR="005F2E79" w:rsidRPr="005F2E79" w:rsidRDefault="005F2E79" w:rsidP="005F2E79">
      <w:pPr>
        <w:widowControl/>
        <w:spacing w:line="58" w:lineRule="atLeast"/>
        <w:ind w:firstLineChars="200" w:firstLine="361"/>
        <w:jc w:val="left"/>
        <w:rPr>
          <w:rFonts w:ascii="宋体" w:eastAsia="宋体" w:hAnsi="宋体" w:cs="宋体"/>
          <w:b/>
          <w:color w:val="2E2E2E"/>
          <w:kern w:val="0"/>
          <w:sz w:val="18"/>
          <w:szCs w:val="18"/>
        </w:rPr>
      </w:pPr>
      <w:r w:rsidRPr="005F2E79">
        <w:rPr>
          <w:rFonts w:ascii="Calibri" w:eastAsia="宋体" w:hAnsi="Calibri" w:cs="宋体" w:hint="eastAsia"/>
          <w:b/>
          <w:color w:val="2E2E2E"/>
          <w:kern w:val="0"/>
          <w:sz w:val="18"/>
          <w:szCs w:val="18"/>
        </w:rPr>
        <w:t>四、深港通标的股票的市值筛选标准如何实施？</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为防范中小市值股票跨境市场炒作和操纵风险，深港通对标的股票引入市值筛选标准。市值筛选标准具体实施时，有三个方面内容需要投资者关注：一是为避免因市值波动频繁调整标的范围，给市场投资操作带来不必要的影响，市值标准仅在指数成份股定期调整时执行。二是市值标准的考察期、计算方法与指数成份股定期调整保持一致，深港通标的的市值计算方法为指数成份股定期调整考察截止日前六个月的日均市值，港股通标的市值计算方法为指数成份股定期调整考察截止日前十二个月的港股平均月末市值。三是</w:t>
      </w:r>
      <w:r w:rsidRPr="005F2E79">
        <w:rPr>
          <w:rFonts w:ascii="Calibri" w:eastAsia="宋体" w:hAnsi="Calibri" w:cs="Calibri"/>
          <w:color w:val="2E2E2E"/>
          <w:kern w:val="0"/>
          <w:sz w:val="18"/>
          <w:szCs w:val="18"/>
        </w:rPr>
        <w:t>A+H</w:t>
      </w:r>
      <w:r w:rsidRPr="005F2E79">
        <w:rPr>
          <w:rFonts w:ascii="Calibri" w:eastAsia="宋体" w:hAnsi="Calibri" w:cs="宋体" w:hint="eastAsia"/>
          <w:color w:val="2E2E2E"/>
          <w:kern w:val="0"/>
          <w:sz w:val="18"/>
          <w:szCs w:val="18"/>
        </w:rPr>
        <w:t>股不进行市值筛选。</w:t>
      </w:r>
    </w:p>
    <w:p w:rsidR="005F2E79" w:rsidRPr="005F2E79" w:rsidRDefault="005F2E79" w:rsidP="005F2E79">
      <w:pPr>
        <w:widowControl/>
        <w:spacing w:line="58" w:lineRule="atLeast"/>
        <w:ind w:firstLineChars="200" w:firstLine="361"/>
        <w:jc w:val="left"/>
        <w:rPr>
          <w:rFonts w:ascii="宋体" w:eastAsia="宋体" w:hAnsi="宋体" w:cs="宋体"/>
          <w:b/>
          <w:color w:val="2E2E2E"/>
          <w:kern w:val="0"/>
          <w:sz w:val="18"/>
          <w:szCs w:val="18"/>
        </w:rPr>
      </w:pPr>
      <w:r w:rsidRPr="005F2E79">
        <w:rPr>
          <w:rFonts w:ascii="Calibri" w:eastAsia="宋体" w:hAnsi="Calibri" w:cs="宋体" w:hint="eastAsia"/>
          <w:b/>
          <w:color w:val="2E2E2E"/>
          <w:kern w:val="0"/>
          <w:sz w:val="18"/>
          <w:szCs w:val="18"/>
        </w:rPr>
        <w:t>五、深港通标的股票调入调出遵循何种规则？</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对于深股通和港股通标的股票，因相关指数实施成份股调整等原因，导致部分股票符合纳入深股通（港股通）股票范围的，则调入深股通（港股通）股票。深股通（港股通）股票因实施指数成份股调整等原因，导致不再符合标的股票范围的，则调出。</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其中，</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股上市公司在联交所上市</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股，或者联交所</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股上市公司在境内上市</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股，或者公司同日上市</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股和联交所</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股的：其</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股在上市满</w:t>
      </w:r>
      <w:r w:rsidRPr="005F2E79">
        <w:rPr>
          <w:rFonts w:ascii="Calibri" w:eastAsia="宋体" w:hAnsi="Calibri" w:cs="Calibri"/>
          <w:color w:val="2E2E2E"/>
          <w:kern w:val="0"/>
          <w:sz w:val="18"/>
          <w:szCs w:val="18"/>
        </w:rPr>
        <w:t>10</w:t>
      </w:r>
      <w:r w:rsidRPr="005F2E79">
        <w:rPr>
          <w:rFonts w:ascii="Calibri" w:eastAsia="宋体" w:hAnsi="Calibri" w:cs="宋体" w:hint="eastAsia"/>
          <w:color w:val="2E2E2E"/>
          <w:kern w:val="0"/>
          <w:sz w:val="18"/>
          <w:szCs w:val="18"/>
        </w:rPr>
        <w:t>个交易日且相应</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股价格稳定期结束后调入深股通股票；其</w:t>
      </w:r>
      <w:r w:rsidRPr="005F2E79">
        <w:rPr>
          <w:rFonts w:ascii="Calibri" w:eastAsia="宋体" w:hAnsi="Calibri" w:cs="Calibri"/>
          <w:color w:val="2E2E2E"/>
          <w:kern w:val="0"/>
          <w:sz w:val="18"/>
          <w:szCs w:val="18"/>
        </w:rPr>
        <w:t>H</w:t>
      </w:r>
      <w:r w:rsidRPr="005F2E79">
        <w:rPr>
          <w:rFonts w:ascii="Calibri" w:eastAsia="宋体" w:hAnsi="Calibri" w:cs="宋体" w:hint="eastAsia"/>
          <w:color w:val="2E2E2E"/>
          <w:kern w:val="0"/>
          <w:sz w:val="18"/>
          <w:szCs w:val="18"/>
        </w:rPr>
        <w:t>股在价格稳定期结束且相应</w:t>
      </w:r>
      <w:r w:rsidRPr="005F2E79">
        <w:rPr>
          <w:rFonts w:ascii="Calibri" w:eastAsia="宋体" w:hAnsi="Calibri" w:cs="Calibri"/>
          <w:color w:val="2E2E2E"/>
          <w:kern w:val="0"/>
          <w:sz w:val="18"/>
          <w:szCs w:val="18"/>
        </w:rPr>
        <w:t>A</w:t>
      </w:r>
      <w:r w:rsidRPr="005F2E79">
        <w:rPr>
          <w:rFonts w:ascii="Calibri" w:eastAsia="宋体" w:hAnsi="Calibri" w:cs="宋体" w:hint="eastAsia"/>
          <w:color w:val="2E2E2E"/>
          <w:kern w:val="0"/>
          <w:sz w:val="18"/>
          <w:szCs w:val="18"/>
        </w:rPr>
        <w:t>股上市满</w:t>
      </w:r>
      <w:r w:rsidRPr="005F2E79">
        <w:rPr>
          <w:rFonts w:ascii="Calibri" w:eastAsia="宋体" w:hAnsi="Calibri" w:cs="Calibri"/>
          <w:color w:val="2E2E2E"/>
          <w:kern w:val="0"/>
          <w:sz w:val="18"/>
          <w:szCs w:val="18"/>
        </w:rPr>
        <w:t>10</w:t>
      </w:r>
      <w:r w:rsidRPr="005F2E79">
        <w:rPr>
          <w:rFonts w:ascii="Calibri" w:eastAsia="宋体" w:hAnsi="Calibri" w:cs="宋体" w:hint="eastAsia"/>
          <w:color w:val="2E2E2E"/>
          <w:kern w:val="0"/>
          <w:sz w:val="18"/>
          <w:szCs w:val="18"/>
        </w:rPr>
        <w:t>个交易日后调入港股通股票。</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提示投资者注意，股票调出深股通（港股通）股票，投资者不得通过深股通（港股通）股票买入，但可以卖出。调入或调出深股通或港股通股票的生效时间，分别以联交所证券交易服务公司或深交所证券交易服务公司公布的时间为准。</w:t>
      </w:r>
    </w:p>
    <w:p w:rsidR="005F2E79" w:rsidRPr="005F2E79" w:rsidRDefault="005F2E79" w:rsidP="005F2E79">
      <w:pPr>
        <w:widowControl/>
        <w:spacing w:line="58" w:lineRule="atLeast"/>
        <w:ind w:firstLineChars="200" w:firstLine="361"/>
        <w:jc w:val="left"/>
        <w:rPr>
          <w:rFonts w:ascii="宋体" w:eastAsia="宋体" w:hAnsi="宋体" w:cs="宋体"/>
          <w:b/>
          <w:color w:val="2E2E2E"/>
          <w:kern w:val="0"/>
          <w:sz w:val="18"/>
          <w:szCs w:val="18"/>
        </w:rPr>
      </w:pPr>
      <w:r w:rsidRPr="005F2E79">
        <w:rPr>
          <w:rFonts w:ascii="Calibri" w:eastAsia="宋体" w:hAnsi="Calibri" w:cs="宋体" w:hint="eastAsia"/>
          <w:b/>
          <w:color w:val="2E2E2E"/>
          <w:kern w:val="0"/>
          <w:sz w:val="18"/>
          <w:szCs w:val="18"/>
        </w:rPr>
        <w:t>六、深港通的额度控制是如何规定的？</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深港通不设总额度限制，但为防范资金每日大进大出的跨境流动风险，深港通设置了每日额度的限制，具体如下：</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3471"/>
        <w:gridCol w:w="3660"/>
      </w:tblGrid>
      <w:tr w:rsidR="005F2E79" w:rsidRPr="005F2E79" w:rsidTr="005F2E79">
        <w:trPr>
          <w:trHeight w:val="27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 xml:space="preserve">　</w:t>
            </w:r>
          </w:p>
        </w:tc>
        <w:tc>
          <w:tcPr>
            <w:tcW w:w="3471"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深股通</w:t>
            </w:r>
          </w:p>
        </w:tc>
        <w:tc>
          <w:tcPr>
            <w:tcW w:w="3660" w:type="dxa"/>
            <w:tcBorders>
              <w:top w:val="single" w:sz="4" w:space="0" w:color="auto"/>
              <w:left w:val="single" w:sz="4" w:space="0" w:color="auto"/>
              <w:bottom w:val="single" w:sz="4" w:space="0" w:color="auto"/>
              <w:right w:val="single" w:sz="4" w:space="0" w:color="auto"/>
            </w:tcBorders>
            <w:shd w:val="clear" w:color="auto" w:fill="8DB4E2"/>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港股通</w:t>
            </w:r>
          </w:p>
        </w:tc>
      </w:tr>
      <w:tr w:rsidR="005F2E79" w:rsidRPr="005F2E79" w:rsidTr="005F2E79">
        <w:trPr>
          <w:trHeight w:val="27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每日额度</w:t>
            </w:r>
          </w:p>
        </w:tc>
        <w:tc>
          <w:tcPr>
            <w:tcW w:w="347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人民币</w:t>
            </w:r>
            <w:r w:rsidRPr="005F2E79">
              <w:rPr>
                <w:rFonts w:ascii="Calibri" w:eastAsia="宋体" w:hAnsi="Calibri" w:cs="Calibri"/>
                <w:color w:val="2E2E2E"/>
                <w:kern w:val="0"/>
                <w:sz w:val="18"/>
                <w:szCs w:val="18"/>
              </w:rPr>
              <w:t>130</w:t>
            </w:r>
            <w:r w:rsidRPr="005F2E79">
              <w:rPr>
                <w:rFonts w:ascii="Calibri" w:eastAsia="宋体" w:hAnsi="Calibri" w:cs="宋体" w:hint="eastAsia"/>
                <w:color w:val="2E2E2E"/>
                <w:kern w:val="0"/>
                <w:sz w:val="18"/>
                <w:szCs w:val="18"/>
              </w:rPr>
              <w:t>亿元</w:t>
            </w:r>
          </w:p>
        </w:tc>
        <w:tc>
          <w:tcPr>
            <w:tcW w:w="3660"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人民币</w:t>
            </w:r>
            <w:r w:rsidRPr="005F2E79">
              <w:rPr>
                <w:rFonts w:ascii="Calibri" w:eastAsia="宋体" w:hAnsi="Calibri" w:cs="Calibri"/>
                <w:color w:val="2E2E2E"/>
                <w:kern w:val="0"/>
                <w:sz w:val="18"/>
                <w:szCs w:val="18"/>
              </w:rPr>
              <w:t>105</w:t>
            </w:r>
            <w:r w:rsidRPr="005F2E79">
              <w:rPr>
                <w:rFonts w:ascii="Calibri" w:eastAsia="宋体" w:hAnsi="Calibri" w:cs="宋体" w:hint="eastAsia"/>
                <w:color w:val="2E2E2E"/>
                <w:kern w:val="0"/>
                <w:sz w:val="18"/>
                <w:szCs w:val="18"/>
              </w:rPr>
              <w:t>亿元</w:t>
            </w:r>
          </w:p>
        </w:tc>
      </w:tr>
    </w:tbl>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当日额度余额的计算公式为：深股通（港股通）当日额度余额</w:t>
      </w:r>
      <w:r w:rsidRPr="005F2E79">
        <w:rPr>
          <w:rFonts w:ascii="Calibri" w:eastAsia="宋体" w:hAnsi="Calibri" w:cs="Calibri"/>
          <w:color w:val="2E2E2E"/>
          <w:kern w:val="0"/>
          <w:sz w:val="18"/>
          <w:szCs w:val="18"/>
        </w:rPr>
        <w:t>=</w:t>
      </w:r>
      <w:r w:rsidRPr="005F2E79">
        <w:rPr>
          <w:rFonts w:ascii="Calibri" w:eastAsia="宋体" w:hAnsi="Calibri" w:cs="宋体" w:hint="eastAsia"/>
          <w:color w:val="2E2E2E"/>
          <w:kern w:val="0"/>
          <w:sz w:val="18"/>
          <w:szCs w:val="18"/>
        </w:rPr>
        <w:t>每日额度</w:t>
      </w:r>
      <w:r w:rsidRPr="005F2E79">
        <w:rPr>
          <w:rFonts w:ascii="Calibri" w:eastAsia="宋体" w:hAnsi="Calibri" w:cs="Calibri"/>
          <w:color w:val="2E2E2E"/>
          <w:kern w:val="0"/>
          <w:sz w:val="18"/>
          <w:szCs w:val="18"/>
        </w:rPr>
        <w:t>-</w:t>
      </w:r>
      <w:r w:rsidRPr="005F2E79">
        <w:rPr>
          <w:rFonts w:ascii="Calibri" w:eastAsia="宋体" w:hAnsi="Calibri" w:cs="宋体" w:hint="eastAsia"/>
          <w:color w:val="2E2E2E"/>
          <w:kern w:val="0"/>
          <w:sz w:val="18"/>
          <w:szCs w:val="18"/>
        </w:rPr>
        <w:t>买入申报金额</w:t>
      </w:r>
      <w:r w:rsidRPr="005F2E79">
        <w:rPr>
          <w:rFonts w:ascii="Calibri" w:eastAsia="宋体" w:hAnsi="Calibri" w:cs="Calibri"/>
          <w:color w:val="2E2E2E"/>
          <w:kern w:val="0"/>
          <w:sz w:val="18"/>
          <w:szCs w:val="18"/>
        </w:rPr>
        <w:t>+</w:t>
      </w:r>
      <w:r w:rsidRPr="005F2E79">
        <w:rPr>
          <w:rFonts w:ascii="Calibri" w:eastAsia="宋体" w:hAnsi="Calibri" w:cs="宋体" w:hint="eastAsia"/>
          <w:color w:val="2E2E2E"/>
          <w:kern w:val="0"/>
          <w:sz w:val="18"/>
          <w:szCs w:val="18"/>
        </w:rPr>
        <w:t>卖出成交金额</w:t>
      </w:r>
      <w:r w:rsidRPr="005F2E79">
        <w:rPr>
          <w:rFonts w:ascii="Calibri" w:eastAsia="宋体" w:hAnsi="Calibri" w:cs="Calibri"/>
          <w:color w:val="2E2E2E"/>
          <w:kern w:val="0"/>
          <w:sz w:val="18"/>
          <w:szCs w:val="18"/>
        </w:rPr>
        <w:t>+</w:t>
      </w:r>
      <w:r w:rsidRPr="005F2E79">
        <w:rPr>
          <w:rFonts w:ascii="Calibri" w:eastAsia="宋体" w:hAnsi="Calibri" w:cs="宋体" w:hint="eastAsia"/>
          <w:color w:val="2E2E2E"/>
          <w:kern w:val="0"/>
          <w:sz w:val="18"/>
          <w:szCs w:val="18"/>
        </w:rPr>
        <w:t>被撤销和被深交所（联交所）拒绝接受的买入申报金额</w:t>
      </w:r>
      <w:r w:rsidRPr="005F2E79">
        <w:rPr>
          <w:rFonts w:ascii="Calibri" w:eastAsia="宋体" w:hAnsi="Calibri" w:cs="Calibri"/>
          <w:color w:val="2E2E2E"/>
          <w:kern w:val="0"/>
          <w:sz w:val="18"/>
          <w:szCs w:val="18"/>
        </w:rPr>
        <w:t>+</w:t>
      </w:r>
      <w:r w:rsidRPr="005F2E79">
        <w:rPr>
          <w:rFonts w:ascii="Calibri" w:eastAsia="宋体" w:hAnsi="Calibri" w:cs="宋体" w:hint="eastAsia"/>
          <w:color w:val="2E2E2E"/>
          <w:kern w:val="0"/>
          <w:sz w:val="18"/>
          <w:szCs w:val="18"/>
        </w:rPr>
        <w:t>买入成交价低于申报价的差额。在额度统计口径上，以投资者在交易环节发生的如申报、成交金额等作为计算依据进行额度控制。</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lastRenderedPageBreak/>
        <w:t>这里需提醒参与港股通交易的内地投资者注意，当日港股通额度余额使用完毕，可能会影响投资者的买入申报。具体来说，当日额度在联交所开市前时段使用完毕的，深交所证券交易服务公司暂停接受相应时段后续的买入申报，在该时段结束前不再恢复，但仍然接受卖出申报。因卖出申报成交等情形，导致当日额度余额大于零的，深交所证券交易服务公司在联交所持续交易时段开始时恢复接受后续的买入申报。当日额度在联交所持续交易时段或者收市竞价时段使用完毕的，深交所证券交易服务公司停止接受当日后续的买入申报，但仍然接受卖出申报。在上述时段停止接受买入申报的，当日不再恢复，深交所另有规定的除外。</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r w:rsidRPr="005F2E79">
        <w:rPr>
          <w:rFonts w:ascii="Calibri" w:eastAsia="宋体" w:hAnsi="Calibri" w:cs="宋体" w:hint="eastAsia"/>
          <w:color w:val="2E2E2E"/>
          <w:kern w:val="0"/>
          <w:sz w:val="18"/>
          <w:szCs w:val="18"/>
        </w:rPr>
        <w:t>此外，深港通下的港股通和沪港通下的港股通每日额度由深沪证券交易所分别控制，即均为</w:t>
      </w:r>
      <w:r w:rsidRPr="005F2E79">
        <w:rPr>
          <w:rFonts w:ascii="Calibri" w:eastAsia="宋体" w:hAnsi="Calibri" w:cs="Calibri"/>
          <w:color w:val="2E2E2E"/>
          <w:kern w:val="0"/>
          <w:sz w:val="18"/>
          <w:szCs w:val="18"/>
        </w:rPr>
        <w:t>105</w:t>
      </w:r>
      <w:r w:rsidRPr="005F2E79">
        <w:rPr>
          <w:rFonts w:ascii="Calibri" w:eastAsia="宋体" w:hAnsi="Calibri" w:cs="宋体" w:hint="eastAsia"/>
          <w:color w:val="2E2E2E"/>
          <w:kern w:val="0"/>
          <w:sz w:val="18"/>
          <w:szCs w:val="18"/>
        </w:rPr>
        <w:t>亿元人民币，互不影响、也不相互调剂。</w:t>
      </w:r>
    </w:p>
    <w:p w:rsidR="005F2E79" w:rsidRPr="005F2E79" w:rsidRDefault="005F2E79" w:rsidP="005F2E79">
      <w:pPr>
        <w:widowControl/>
        <w:spacing w:line="58" w:lineRule="atLeast"/>
        <w:ind w:firstLineChars="200" w:firstLine="360"/>
        <w:jc w:val="left"/>
        <w:rPr>
          <w:rFonts w:ascii="宋体" w:eastAsia="宋体" w:hAnsi="宋体" w:cs="宋体"/>
          <w:color w:val="2E2E2E"/>
          <w:kern w:val="0"/>
          <w:sz w:val="18"/>
          <w:szCs w:val="18"/>
        </w:rPr>
      </w:pPr>
    </w:p>
    <w:p w:rsidR="005F2E79" w:rsidRPr="005F2E79" w:rsidRDefault="005F2E79" w:rsidP="005F2E79">
      <w:pPr>
        <w:widowControl/>
        <w:spacing w:line="58" w:lineRule="atLeast"/>
        <w:ind w:firstLineChars="200" w:firstLine="480"/>
        <w:jc w:val="left"/>
        <w:rPr>
          <w:rFonts w:ascii="楷体" w:eastAsia="楷体" w:hAnsi="楷体" w:cs="宋体"/>
          <w:color w:val="2E2E2E"/>
          <w:kern w:val="0"/>
          <w:sz w:val="24"/>
          <w:szCs w:val="24"/>
        </w:rPr>
      </w:pPr>
      <w:r w:rsidRPr="005F2E79">
        <w:rPr>
          <w:rFonts w:ascii="楷体" w:eastAsia="楷体" w:hAnsi="楷体" w:cs="宋体" w:hint="eastAsia"/>
          <w:color w:val="2E2E2E"/>
          <w:kern w:val="0"/>
          <w:sz w:val="24"/>
          <w:szCs w:val="24"/>
        </w:rPr>
        <w:t>（免责声明：本栏目的信息不构成任何投资建议，投资者不应以该等信息取代其独立判断或仅根据该等信息做出决策。供稿人力求本栏目文章所涉信息准确可靠，但并不对其准确性、完整性和及时性做出任何保证，亦不对因使用本栏目信息引发的损失承担责任。）</w:t>
      </w:r>
    </w:p>
    <w:p w:rsidR="00704AA1" w:rsidRDefault="00704AA1"/>
    <w:sectPr w:rsidR="00704A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A1" w:rsidRDefault="00704AA1" w:rsidP="005F2E79">
      <w:r>
        <w:separator/>
      </w:r>
    </w:p>
  </w:endnote>
  <w:endnote w:type="continuationSeparator" w:id="1">
    <w:p w:rsidR="00704AA1" w:rsidRDefault="00704AA1" w:rsidP="005F2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A1" w:rsidRDefault="00704AA1" w:rsidP="005F2E79">
      <w:r>
        <w:separator/>
      </w:r>
    </w:p>
  </w:footnote>
  <w:footnote w:type="continuationSeparator" w:id="1">
    <w:p w:rsidR="00704AA1" w:rsidRDefault="00704AA1" w:rsidP="005F2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E79"/>
    <w:rsid w:val="005F2E79"/>
    <w:rsid w:val="00704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E79"/>
    <w:rPr>
      <w:sz w:val="18"/>
      <w:szCs w:val="18"/>
    </w:rPr>
  </w:style>
  <w:style w:type="paragraph" w:styleId="a4">
    <w:name w:val="footer"/>
    <w:basedOn w:val="a"/>
    <w:link w:val="Char0"/>
    <w:uiPriority w:val="99"/>
    <w:semiHidden/>
    <w:unhideWhenUsed/>
    <w:rsid w:val="005F2E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2E79"/>
    <w:rPr>
      <w:sz w:val="18"/>
      <w:szCs w:val="18"/>
    </w:rPr>
  </w:style>
</w:styles>
</file>

<file path=word/webSettings.xml><?xml version="1.0" encoding="utf-8"?>
<w:webSettings xmlns:r="http://schemas.openxmlformats.org/officeDocument/2006/relationships" xmlns:w="http://schemas.openxmlformats.org/wordprocessingml/2006/main">
  <w:divs>
    <w:div w:id="1278685596">
      <w:bodyDiv w:val="1"/>
      <w:marLeft w:val="0"/>
      <w:marRight w:val="0"/>
      <w:marTop w:val="0"/>
      <w:marBottom w:val="0"/>
      <w:divBdr>
        <w:top w:val="none" w:sz="0" w:space="0" w:color="auto"/>
        <w:left w:val="none" w:sz="0" w:space="0" w:color="auto"/>
        <w:bottom w:val="none" w:sz="0" w:space="0" w:color="auto"/>
        <w:right w:val="none" w:sz="0" w:space="0" w:color="auto"/>
      </w:divBdr>
      <w:divsChild>
        <w:div w:id="1178470179">
          <w:marLeft w:val="0"/>
          <w:marRight w:val="0"/>
          <w:marTop w:val="0"/>
          <w:marBottom w:val="0"/>
          <w:divBdr>
            <w:top w:val="none" w:sz="0" w:space="0" w:color="auto"/>
            <w:left w:val="none" w:sz="0" w:space="0" w:color="auto"/>
            <w:bottom w:val="none" w:sz="0" w:space="0" w:color="auto"/>
            <w:right w:val="none" w:sz="0" w:space="0" w:color="auto"/>
          </w:divBdr>
          <w:divsChild>
            <w:div w:id="1253464626">
              <w:marLeft w:val="0"/>
              <w:marRight w:val="0"/>
              <w:marTop w:val="0"/>
              <w:marBottom w:val="0"/>
              <w:divBdr>
                <w:top w:val="none" w:sz="0" w:space="0" w:color="auto"/>
                <w:left w:val="none" w:sz="0" w:space="0" w:color="auto"/>
                <w:bottom w:val="none" w:sz="0" w:space="0" w:color="auto"/>
                <w:right w:val="none" w:sz="0" w:space="0" w:color="auto"/>
              </w:divBdr>
              <w:divsChild>
                <w:div w:id="1591103">
                  <w:marLeft w:val="0"/>
                  <w:marRight w:val="0"/>
                  <w:marTop w:val="0"/>
                  <w:marBottom w:val="0"/>
                  <w:divBdr>
                    <w:top w:val="none" w:sz="0" w:space="0" w:color="auto"/>
                    <w:left w:val="none" w:sz="0" w:space="0" w:color="auto"/>
                    <w:bottom w:val="none" w:sz="0" w:space="0" w:color="auto"/>
                    <w:right w:val="none" w:sz="0" w:space="0" w:color="auto"/>
                  </w:divBdr>
                  <w:divsChild>
                    <w:div w:id="1635671360">
                      <w:marLeft w:val="0"/>
                      <w:marRight w:val="0"/>
                      <w:marTop w:val="0"/>
                      <w:marBottom w:val="0"/>
                      <w:divBdr>
                        <w:top w:val="none" w:sz="0" w:space="0" w:color="auto"/>
                        <w:left w:val="none" w:sz="0" w:space="0" w:color="auto"/>
                        <w:bottom w:val="dashed" w:sz="2" w:space="0" w:color="C1DBE8"/>
                        <w:right w:val="none" w:sz="0" w:space="0" w:color="auto"/>
                      </w:divBdr>
                    </w:div>
                    <w:div w:id="575241618">
                      <w:marLeft w:val="0"/>
                      <w:marRight w:val="0"/>
                      <w:marTop w:val="0"/>
                      <w:marBottom w:val="0"/>
                      <w:divBdr>
                        <w:top w:val="none" w:sz="0" w:space="0" w:color="auto"/>
                        <w:left w:val="none" w:sz="0" w:space="0" w:color="auto"/>
                        <w:bottom w:val="none" w:sz="0" w:space="0" w:color="auto"/>
                        <w:right w:val="none" w:sz="0" w:space="0" w:color="auto"/>
                      </w:divBdr>
                      <w:divsChild>
                        <w:div w:id="19872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cp:revision>
  <dcterms:created xsi:type="dcterms:W3CDTF">2016-10-21T05:29:00Z</dcterms:created>
  <dcterms:modified xsi:type="dcterms:W3CDTF">2016-10-21T05:29:00Z</dcterms:modified>
</cp:coreProperties>
</file>