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C0" w:rsidRPr="00DA60C0" w:rsidRDefault="00DA60C0" w:rsidP="00DA60C0">
      <w:pPr>
        <w:widowControl/>
        <w:jc w:val="center"/>
        <w:rPr>
          <w:rFonts w:ascii="宋体" w:eastAsia="宋体" w:hAnsi="宋体" w:cs="宋体"/>
          <w:kern w:val="0"/>
          <w:sz w:val="24"/>
          <w:szCs w:val="24"/>
        </w:rPr>
      </w:pPr>
      <w:r w:rsidRPr="00DA60C0">
        <w:rPr>
          <w:rFonts w:ascii="宋体" w:eastAsia="宋体" w:hAnsi="宋体" w:cs="宋体"/>
          <w:kern w:val="0"/>
          <w:sz w:val="24"/>
          <w:szCs w:val="24"/>
        </w:rPr>
        <w:t>中国结算就《内地与香港股票市场交易互联互通机制登记、存管、结算业务实施细则》</w:t>
      </w:r>
      <w:r w:rsidR="00024233">
        <w:rPr>
          <w:rFonts w:ascii="宋体" w:eastAsia="宋体" w:hAnsi="宋体" w:cs="宋体" w:hint="eastAsia"/>
          <w:kern w:val="0"/>
          <w:sz w:val="24"/>
          <w:szCs w:val="24"/>
        </w:rPr>
        <w:t>的回答</w:t>
      </w:r>
    </w:p>
    <w:p w:rsidR="00DA60C0" w:rsidRPr="00DA60C0" w:rsidRDefault="00DA60C0" w:rsidP="00DA60C0">
      <w:pPr>
        <w:widowControl/>
        <w:numPr>
          <w:ilvl w:val="0"/>
          <w:numId w:val="1"/>
        </w:numPr>
        <w:spacing w:before="100" w:beforeAutospacing="1" w:after="100" w:afterAutospacing="1"/>
        <w:jc w:val="center"/>
        <w:rPr>
          <w:rFonts w:ascii="宋体" w:eastAsia="宋体" w:hAnsi="宋体" w:cs="宋体"/>
          <w:kern w:val="0"/>
          <w:sz w:val="24"/>
          <w:szCs w:val="24"/>
        </w:rPr>
      </w:pPr>
      <w:r w:rsidRPr="00DA60C0">
        <w:rPr>
          <w:rFonts w:ascii="宋体" w:eastAsia="宋体" w:hAnsi="宋体" w:cs="宋体"/>
          <w:kern w:val="0"/>
          <w:sz w:val="24"/>
          <w:szCs w:val="24"/>
        </w:rPr>
        <w:t>发布时间：2016-09-30</w:t>
      </w:r>
    </w:p>
    <w:p w:rsidR="00DA60C0" w:rsidRPr="00DA60C0" w:rsidRDefault="00DA60C0" w:rsidP="00DA60C0">
      <w:pPr>
        <w:widowControl/>
        <w:spacing w:after="120" w:line="480" w:lineRule="auto"/>
        <w:ind w:firstLine="480"/>
        <w:rPr>
          <w:rFonts w:ascii="宋体" w:eastAsia="宋体" w:hAnsi="宋体" w:cs="宋体"/>
          <w:kern w:val="0"/>
          <w:szCs w:val="21"/>
        </w:rPr>
      </w:pPr>
      <w:r w:rsidRPr="00DA60C0">
        <w:rPr>
          <w:rFonts w:ascii="宋体" w:eastAsia="宋体" w:hAnsi="宋体" w:cs="宋体" w:hint="eastAsia"/>
          <w:b/>
          <w:bCs/>
          <w:color w:val="808080"/>
          <w:kern w:val="0"/>
          <w:szCs w:val="21"/>
        </w:rPr>
        <w:t>1、深港通登记、存管、结算制度体系是怎样的？包括哪些规定？</w:t>
      </w:r>
    </w:p>
    <w:p w:rsidR="00DA60C0" w:rsidRPr="00DA60C0" w:rsidRDefault="00DA60C0" w:rsidP="00DA60C0">
      <w:pPr>
        <w:widowControl/>
        <w:spacing w:after="120" w:line="480" w:lineRule="auto"/>
        <w:ind w:firstLine="480"/>
        <w:rPr>
          <w:rFonts w:ascii="宋体" w:eastAsia="宋体" w:hAnsi="宋体" w:cs="宋体"/>
          <w:kern w:val="0"/>
          <w:szCs w:val="21"/>
        </w:rPr>
      </w:pPr>
      <w:r w:rsidRPr="00DA60C0">
        <w:rPr>
          <w:rFonts w:ascii="宋体" w:eastAsia="宋体" w:hAnsi="宋体" w:cs="宋体" w:hint="eastAsia"/>
          <w:color w:val="808080"/>
          <w:kern w:val="0"/>
          <w:szCs w:val="21"/>
        </w:rPr>
        <w:t>除了《证券法》、《证券登记结算管理办法》等上位法外，深港通登记、存管、结算业务的制度、规则主要包括：</w:t>
      </w:r>
    </w:p>
    <w:p w:rsidR="00DA60C0" w:rsidRPr="00DA60C0" w:rsidRDefault="00DA60C0" w:rsidP="00DA60C0">
      <w:pPr>
        <w:widowControl/>
        <w:spacing w:after="120" w:line="480" w:lineRule="auto"/>
        <w:ind w:firstLine="480"/>
        <w:rPr>
          <w:rFonts w:ascii="宋体" w:eastAsia="宋体" w:hAnsi="宋体" w:cs="宋体"/>
          <w:kern w:val="0"/>
          <w:szCs w:val="21"/>
        </w:rPr>
      </w:pPr>
      <w:r w:rsidRPr="00DA60C0">
        <w:rPr>
          <w:rFonts w:ascii="宋体" w:eastAsia="宋体" w:hAnsi="宋体" w:cs="宋体" w:hint="eastAsia"/>
          <w:color w:val="808080"/>
          <w:kern w:val="0"/>
          <w:szCs w:val="21"/>
        </w:rPr>
        <w:t>一是中国证监会和香港证监会2016年8月16日发布的《联合公告》，原则批准深港通的政策性文件。</w:t>
      </w:r>
    </w:p>
    <w:p w:rsidR="00DA60C0" w:rsidRPr="00DA60C0" w:rsidRDefault="00DA60C0" w:rsidP="00DA60C0">
      <w:pPr>
        <w:widowControl/>
        <w:spacing w:after="120" w:line="480" w:lineRule="auto"/>
        <w:ind w:firstLine="480"/>
        <w:rPr>
          <w:rFonts w:ascii="宋体" w:eastAsia="宋体" w:hAnsi="宋体" w:cs="宋体"/>
          <w:kern w:val="0"/>
          <w:szCs w:val="21"/>
        </w:rPr>
      </w:pPr>
      <w:r w:rsidRPr="00DA60C0">
        <w:rPr>
          <w:rFonts w:ascii="宋体" w:eastAsia="宋体" w:hAnsi="宋体" w:cs="宋体" w:hint="eastAsia"/>
          <w:color w:val="808080"/>
          <w:kern w:val="0"/>
          <w:szCs w:val="21"/>
        </w:rPr>
        <w:t>二是中国证监会于2016年9月30日发布的《内地与香港股票市场交易互联互通机制若干规定》（以下简称“《若干规定》”），对深港通业务的重大制度性问题作出明确规定。</w:t>
      </w:r>
    </w:p>
    <w:p w:rsidR="00DA60C0" w:rsidRPr="00DA60C0" w:rsidRDefault="00DA60C0" w:rsidP="00DA60C0">
      <w:pPr>
        <w:widowControl/>
        <w:spacing w:after="120" w:line="480" w:lineRule="auto"/>
        <w:ind w:firstLine="480"/>
        <w:rPr>
          <w:rFonts w:ascii="宋体" w:eastAsia="宋体" w:hAnsi="宋体" w:cs="宋体"/>
          <w:kern w:val="0"/>
          <w:szCs w:val="21"/>
        </w:rPr>
      </w:pPr>
      <w:r w:rsidRPr="00DA60C0">
        <w:rPr>
          <w:rFonts w:ascii="宋体" w:eastAsia="宋体" w:hAnsi="宋体" w:cs="宋体" w:hint="eastAsia"/>
          <w:color w:val="808080"/>
          <w:kern w:val="0"/>
          <w:szCs w:val="21"/>
        </w:rPr>
        <w:t>三是中国结算制定的业务规则和业务指南，包括《内地与香港股票市场交易互联互通机制登记、存管、结算业务实施细则》、《中国结算深圳分公司港股通存管结算业务指南》、《结算银行港股通跨境资金结算业务指引》等。</w:t>
      </w:r>
    </w:p>
    <w:p w:rsidR="00DA60C0" w:rsidRPr="00DA60C0" w:rsidRDefault="00DA60C0" w:rsidP="00DA60C0">
      <w:pPr>
        <w:widowControl/>
        <w:spacing w:after="120" w:line="480" w:lineRule="auto"/>
        <w:ind w:firstLine="480"/>
        <w:rPr>
          <w:rFonts w:ascii="宋体" w:eastAsia="宋体" w:hAnsi="宋体" w:cs="宋体"/>
          <w:kern w:val="0"/>
          <w:szCs w:val="21"/>
        </w:rPr>
      </w:pPr>
      <w:r w:rsidRPr="00DA60C0">
        <w:rPr>
          <w:rFonts w:ascii="宋体" w:eastAsia="宋体" w:hAnsi="宋体" w:cs="宋体" w:hint="eastAsia"/>
          <w:color w:val="808080"/>
          <w:kern w:val="0"/>
          <w:szCs w:val="21"/>
        </w:rPr>
        <w:t>除上述规定外，投资者参与深港通交易，还应当关注并遵守两地市场现有的法律法规及相关业务规则。</w:t>
      </w:r>
    </w:p>
    <w:p w:rsidR="00DA60C0" w:rsidRPr="00DA60C0" w:rsidRDefault="00DA60C0" w:rsidP="00DA60C0">
      <w:pPr>
        <w:widowControl/>
        <w:spacing w:after="120" w:line="480" w:lineRule="auto"/>
        <w:ind w:firstLine="480"/>
        <w:rPr>
          <w:rFonts w:ascii="宋体" w:eastAsia="宋体" w:hAnsi="宋体" w:cs="宋体"/>
          <w:kern w:val="0"/>
          <w:szCs w:val="21"/>
        </w:rPr>
      </w:pPr>
      <w:r w:rsidRPr="00DA60C0">
        <w:rPr>
          <w:rFonts w:ascii="宋体" w:eastAsia="宋体" w:hAnsi="宋体" w:cs="宋体" w:hint="eastAsia"/>
          <w:b/>
          <w:bCs/>
          <w:color w:val="808080"/>
          <w:kern w:val="0"/>
          <w:szCs w:val="21"/>
        </w:rPr>
        <w:t>2、《内地与香港股票市场交易互联互通机制登记、存管、结算业务实施细则》的适用范围？</w:t>
      </w:r>
    </w:p>
    <w:p w:rsidR="00DA60C0" w:rsidRPr="00DA60C0" w:rsidRDefault="00DA60C0" w:rsidP="00DA60C0">
      <w:pPr>
        <w:widowControl/>
        <w:spacing w:after="120" w:line="480" w:lineRule="auto"/>
        <w:ind w:firstLine="480"/>
        <w:rPr>
          <w:rFonts w:ascii="宋体" w:eastAsia="宋体" w:hAnsi="宋体" w:cs="宋体"/>
          <w:kern w:val="0"/>
          <w:szCs w:val="21"/>
        </w:rPr>
      </w:pPr>
      <w:r w:rsidRPr="00DA60C0">
        <w:rPr>
          <w:rFonts w:ascii="宋体" w:eastAsia="宋体" w:hAnsi="宋体" w:cs="宋体" w:hint="eastAsia"/>
          <w:color w:val="808080"/>
          <w:kern w:val="0"/>
          <w:szCs w:val="21"/>
        </w:rPr>
        <w:t>本细则同时适用于沪港通与深港通。</w:t>
      </w:r>
    </w:p>
    <w:p w:rsidR="00DA60C0" w:rsidRPr="00DA60C0" w:rsidRDefault="00DA60C0" w:rsidP="00DA60C0">
      <w:pPr>
        <w:widowControl/>
        <w:spacing w:after="120" w:line="480" w:lineRule="auto"/>
        <w:ind w:firstLine="480"/>
        <w:rPr>
          <w:rFonts w:ascii="宋体" w:eastAsia="宋体" w:hAnsi="宋体" w:cs="宋体"/>
          <w:kern w:val="0"/>
          <w:szCs w:val="21"/>
        </w:rPr>
      </w:pPr>
      <w:r w:rsidRPr="00DA60C0">
        <w:rPr>
          <w:rFonts w:ascii="宋体" w:eastAsia="宋体" w:hAnsi="宋体" w:cs="宋体" w:hint="eastAsia"/>
          <w:color w:val="808080"/>
          <w:kern w:val="0"/>
          <w:szCs w:val="21"/>
        </w:rPr>
        <w:t>自本实施细则发布实施之日起，原《沪港股票市场交易互联互通机制试点登记、存管、结算业务实施细则》（中国结算发字［2014］109号）同时废止。</w:t>
      </w:r>
    </w:p>
    <w:p w:rsidR="00DA60C0" w:rsidRPr="00DA60C0" w:rsidRDefault="00DA60C0" w:rsidP="00DA60C0">
      <w:pPr>
        <w:widowControl/>
        <w:spacing w:after="120" w:line="480" w:lineRule="auto"/>
        <w:ind w:firstLine="480"/>
        <w:rPr>
          <w:rFonts w:ascii="宋体" w:eastAsia="宋体" w:hAnsi="宋体" w:cs="宋体"/>
          <w:kern w:val="0"/>
          <w:szCs w:val="21"/>
        </w:rPr>
      </w:pPr>
      <w:r w:rsidRPr="00DA60C0">
        <w:rPr>
          <w:rFonts w:ascii="宋体" w:eastAsia="宋体" w:hAnsi="宋体" w:cs="宋体" w:hint="eastAsia"/>
          <w:b/>
          <w:bCs/>
          <w:color w:val="808080"/>
          <w:kern w:val="0"/>
          <w:szCs w:val="21"/>
        </w:rPr>
        <w:lastRenderedPageBreak/>
        <w:t>3、《内地与香港股票市场交易互联互通机制登记、存管、结算业务实施细则》的制定原则？</w:t>
      </w:r>
    </w:p>
    <w:p w:rsidR="00DA60C0" w:rsidRPr="00DA60C0" w:rsidRDefault="00DA60C0" w:rsidP="00DA60C0">
      <w:pPr>
        <w:widowControl/>
        <w:spacing w:after="120" w:line="480" w:lineRule="auto"/>
        <w:ind w:firstLine="480"/>
        <w:rPr>
          <w:rFonts w:ascii="宋体" w:eastAsia="宋体" w:hAnsi="宋体" w:cs="宋体"/>
          <w:kern w:val="0"/>
          <w:szCs w:val="21"/>
        </w:rPr>
      </w:pPr>
      <w:r w:rsidRPr="00DA60C0">
        <w:rPr>
          <w:rFonts w:ascii="宋体" w:eastAsia="宋体" w:hAnsi="宋体" w:cs="宋体" w:hint="eastAsia"/>
          <w:color w:val="808080"/>
          <w:kern w:val="0"/>
          <w:szCs w:val="21"/>
        </w:rPr>
        <w:t>本细则的制定遵循深港通“与沪港通保持基本框架和模式不变”的原则。在《沪港股票市场交易互联互通机制试点登记、存管、结算业务实施细则》的基础上，根据沪港通优化及深港通推出的相关指导思想，制定了本细则。本细则与《沪港股票市场交易互联互通机制试点登记、存管、结算业务实施细则》在登记、存管及结算业务等方面的安排无原则性不同。</w:t>
      </w:r>
    </w:p>
    <w:p w:rsidR="00DA60C0" w:rsidRPr="00DA60C0" w:rsidRDefault="00DA60C0" w:rsidP="00DA60C0">
      <w:pPr>
        <w:widowControl/>
        <w:spacing w:after="120" w:line="480" w:lineRule="auto"/>
        <w:ind w:firstLine="480"/>
        <w:rPr>
          <w:rFonts w:ascii="宋体" w:eastAsia="宋体" w:hAnsi="宋体" w:cs="宋体"/>
          <w:kern w:val="0"/>
          <w:szCs w:val="21"/>
        </w:rPr>
      </w:pPr>
      <w:r w:rsidRPr="00DA60C0">
        <w:rPr>
          <w:rFonts w:ascii="宋体" w:eastAsia="宋体" w:hAnsi="宋体" w:cs="宋体" w:hint="eastAsia"/>
          <w:b/>
          <w:bCs/>
          <w:color w:val="808080"/>
          <w:kern w:val="0"/>
          <w:szCs w:val="21"/>
        </w:rPr>
        <w:t>4、《内地与香港股票市场交易互联互通机制登记、存管、结算业务实施细则》与中国结算8月底发布的征求意见稿相比，有哪些差异？</w:t>
      </w:r>
    </w:p>
    <w:p w:rsidR="00DA60C0" w:rsidRPr="00DA60C0" w:rsidRDefault="00DA60C0" w:rsidP="00DA60C0">
      <w:pPr>
        <w:widowControl/>
        <w:spacing w:after="120" w:line="480" w:lineRule="auto"/>
        <w:ind w:firstLine="480"/>
        <w:rPr>
          <w:rFonts w:ascii="宋体" w:eastAsia="宋体" w:hAnsi="宋体" w:cs="宋体"/>
          <w:kern w:val="0"/>
          <w:szCs w:val="21"/>
        </w:rPr>
      </w:pPr>
      <w:r w:rsidRPr="00DA60C0">
        <w:rPr>
          <w:rFonts w:ascii="宋体" w:eastAsia="宋体" w:hAnsi="宋体" w:cs="宋体" w:hint="eastAsia"/>
          <w:color w:val="808080"/>
          <w:kern w:val="0"/>
          <w:szCs w:val="21"/>
        </w:rPr>
        <w:t>中国结算于今年8月26日至9月12日，就《内地与香港股票市场交易互联互通机制登记、存管、结算业务实施细则》公开征求市场意见，共收到14家机构的书面反馈的41条意见。中国结算根据实际情况对市场反馈的意见进行了研究吸收采纳；未吸收采纳的，亦对各市场机构进行了解释说明。</w:t>
      </w:r>
    </w:p>
    <w:p w:rsidR="00DA60C0" w:rsidRPr="00DA60C0" w:rsidRDefault="00DA60C0" w:rsidP="00DA60C0">
      <w:pPr>
        <w:widowControl/>
        <w:spacing w:after="120" w:line="480" w:lineRule="auto"/>
        <w:ind w:firstLine="480"/>
        <w:rPr>
          <w:rFonts w:ascii="宋体" w:eastAsia="宋体" w:hAnsi="宋体" w:cs="宋体"/>
          <w:kern w:val="0"/>
          <w:szCs w:val="21"/>
        </w:rPr>
      </w:pPr>
      <w:r w:rsidRPr="00DA60C0">
        <w:rPr>
          <w:rFonts w:ascii="宋体" w:eastAsia="宋体" w:hAnsi="宋体" w:cs="宋体" w:hint="eastAsia"/>
          <w:color w:val="808080"/>
          <w:kern w:val="0"/>
          <w:szCs w:val="21"/>
        </w:rPr>
        <w:t>本细则与征求意见稿相比，主要差异包括：</w:t>
      </w:r>
    </w:p>
    <w:p w:rsidR="00DA60C0" w:rsidRPr="00DA60C0" w:rsidRDefault="00DA60C0" w:rsidP="00DA60C0">
      <w:pPr>
        <w:widowControl/>
        <w:spacing w:after="120" w:line="480" w:lineRule="auto"/>
        <w:ind w:firstLine="480"/>
        <w:rPr>
          <w:rFonts w:ascii="宋体" w:eastAsia="宋体" w:hAnsi="宋体" w:cs="宋体"/>
          <w:kern w:val="0"/>
          <w:szCs w:val="21"/>
        </w:rPr>
      </w:pPr>
      <w:r w:rsidRPr="00DA60C0">
        <w:rPr>
          <w:rFonts w:ascii="宋体" w:eastAsia="宋体" w:hAnsi="宋体" w:cs="宋体" w:hint="eastAsia"/>
          <w:color w:val="808080"/>
          <w:kern w:val="0"/>
          <w:szCs w:val="21"/>
        </w:rPr>
        <w:t>一是新增了关于自然灾害等导致中国结算无法开展业务时，清算交收将按中国结算与香港结算的协议约定进行处理。对于中国结算与香港结算之间的清算交收，如因内地出现台风等不可抗力事件导致中国结算无法向香港结算履行交收义务，按中国结算与香港结算的协议约定处理；对于中国结算与境内结算参与人之间的清算交收，如因内地出现台风等不可抗力事件导致中国结算业务无法开展的，则参照A股相关清算交收安排处理。</w:t>
      </w:r>
    </w:p>
    <w:p w:rsidR="00DA60C0" w:rsidRPr="00DA60C0" w:rsidRDefault="00DA60C0" w:rsidP="00DA60C0">
      <w:pPr>
        <w:widowControl/>
        <w:spacing w:after="120" w:line="480" w:lineRule="auto"/>
        <w:ind w:firstLine="480"/>
        <w:rPr>
          <w:rFonts w:ascii="宋体" w:eastAsia="宋体" w:hAnsi="宋体" w:cs="宋体"/>
          <w:kern w:val="0"/>
          <w:szCs w:val="21"/>
        </w:rPr>
      </w:pPr>
      <w:r w:rsidRPr="00DA60C0">
        <w:rPr>
          <w:rFonts w:ascii="宋体" w:eastAsia="宋体" w:hAnsi="宋体" w:cs="宋体" w:hint="eastAsia"/>
          <w:color w:val="808080"/>
          <w:kern w:val="0"/>
          <w:szCs w:val="21"/>
        </w:rPr>
        <w:t>二是为中国结算与境内结算参与人以人民币以外的货币进行结算预留了空间。根据《若干规定》相关规定，明确了中国结算与境内结算参与人之间以人民币作为结算货币；有关主管部门有特殊规定的，可以其他货币作为结算货币。</w:t>
      </w:r>
    </w:p>
    <w:p w:rsidR="00DA60C0" w:rsidRPr="00DA60C0" w:rsidRDefault="00DA60C0" w:rsidP="00DA60C0">
      <w:pPr>
        <w:widowControl/>
        <w:spacing w:after="120" w:line="480" w:lineRule="auto"/>
        <w:ind w:firstLine="480"/>
        <w:rPr>
          <w:rFonts w:ascii="宋体" w:eastAsia="宋体" w:hAnsi="宋体" w:cs="宋体"/>
          <w:kern w:val="0"/>
          <w:szCs w:val="21"/>
        </w:rPr>
      </w:pPr>
      <w:r w:rsidRPr="00DA60C0">
        <w:rPr>
          <w:rFonts w:ascii="宋体" w:eastAsia="宋体" w:hAnsi="宋体" w:cs="宋体" w:hint="eastAsia"/>
          <w:b/>
          <w:bCs/>
          <w:color w:val="808080"/>
          <w:kern w:val="0"/>
          <w:szCs w:val="21"/>
        </w:rPr>
        <w:lastRenderedPageBreak/>
        <w:t>5、《内地与香港股票市场交易互联互通机制登记、存管、结算业务实施细则》在《沪港股票市场交易互联互通机制试点登记、存管、结算业务实施细则》的基础上，进行了哪些修订？</w:t>
      </w:r>
    </w:p>
    <w:p w:rsidR="00DA60C0" w:rsidRPr="00DA60C0" w:rsidRDefault="00DA60C0" w:rsidP="00DA60C0">
      <w:pPr>
        <w:widowControl/>
        <w:spacing w:after="120" w:line="480" w:lineRule="auto"/>
        <w:ind w:firstLine="480"/>
        <w:rPr>
          <w:rFonts w:ascii="宋体" w:eastAsia="宋体" w:hAnsi="宋体" w:cs="宋体"/>
          <w:kern w:val="0"/>
          <w:szCs w:val="21"/>
        </w:rPr>
      </w:pPr>
      <w:r w:rsidRPr="00DA60C0">
        <w:rPr>
          <w:rFonts w:ascii="宋体" w:eastAsia="宋体" w:hAnsi="宋体" w:cs="宋体" w:hint="eastAsia"/>
          <w:b/>
          <w:bCs/>
          <w:color w:val="808080"/>
          <w:kern w:val="0"/>
          <w:szCs w:val="21"/>
        </w:rPr>
        <w:t>一是</w:t>
      </w:r>
      <w:r w:rsidRPr="00DA60C0">
        <w:rPr>
          <w:rFonts w:ascii="宋体" w:eastAsia="宋体" w:hAnsi="宋体" w:cs="宋体" w:hint="eastAsia"/>
          <w:color w:val="808080"/>
          <w:kern w:val="0"/>
          <w:szCs w:val="21"/>
        </w:rPr>
        <w:t>关于供配股等相关安排。在沪港通推出初期，鉴于就是否允许对方投资者参与本地配股业务（供股、公开配售）尚无定论，在《沪港股票市场交易互联互通机制试点登记、存管、结算业务实施细则》中未对配股业务予以明确。根据沪港通优化及深港通推出的相关指导思想，实施细则第二十三条扩展了中国结算提供名义持有人服务的范围，明确中国结算可以提供以股息权益选择认购股份、额度内供股及额度内公开配售等名义持有人服务，并在第二十六条对上述名义持有人服务的具体实施进行了详细的安排。</w:t>
      </w:r>
    </w:p>
    <w:p w:rsidR="00DA60C0" w:rsidRPr="00DA60C0" w:rsidRDefault="00DA60C0" w:rsidP="00DA60C0">
      <w:pPr>
        <w:widowControl/>
        <w:spacing w:after="120" w:line="480" w:lineRule="auto"/>
        <w:ind w:firstLine="480"/>
        <w:rPr>
          <w:rFonts w:ascii="宋体" w:eastAsia="宋体" w:hAnsi="宋体" w:cs="宋体"/>
          <w:kern w:val="0"/>
          <w:szCs w:val="21"/>
        </w:rPr>
      </w:pPr>
      <w:r w:rsidRPr="00DA60C0">
        <w:rPr>
          <w:rFonts w:ascii="宋体" w:eastAsia="宋体" w:hAnsi="宋体" w:cs="宋体" w:hint="eastAsia"/>
          <w:b/>
          <w:bCs/>
          <w:color w:val="808080"/>
          <w:kern w:val="0"/>
          <w:szCs w:val="21"/>
        </w:rPr>
        <w:t>二是</w:t>
      </w:r>
      <w:r w:rsidRPr="00DA60C0">
        <w:rPr>
          <w:rFonts w:ascii="宋体" w:eastAsia="宋体" w:hAnsi="宋体" w:cs="宋体" w:hint="eastAsia"/>
          <w:color w:val="808080"/>
          <w:kern w:val="0"/>
          <w:szCs w:val="21"/>
        </w:rPr>
        <w:t>关于港股通标的证券退市的处理。近期，关于港股通标的证券退市的情形已出现（如万达商业），有必要对标的证券退市后的处理做出规定，实施细则第三十条明确标的证券因被收购等原因退市的，中国结算可以根据中国证监会相关规定和与香港结算协议的约定，继续为港股通投资者提供名义持有人服务。</w:t>
      </w:r>
    </w:p>
    <w:p w:rsidR="00DA60C0" w:rsidRPr="00DA60C0" w:rsidRDefault="00DA60C0" w:rsidP="00DA60C0">
      <w:pPr>
        <w:widowControl/>
        <w:spacing w:after="120" w:line="480" w:lineRule="auto"/>
        <w:ind w:firstLine="480"/>
        <w:rPr>
          <w:rFonts w:ascii="宋体" w:eastAsia="宋体" w:hAnsi="宋体" w:cs="宋体"/>
          <w:kern w:val="0"/>
          <w:szCs w:val="21"/>
        </w:rPr>
      </w:pPr>
      <w:r w:rsidRPr="00DA60C0">
        <w:rPr>
          <w:rFonts w:ascii="宋体" w:eastAsia="宋体" w:hAnsi="宋体" w:cs="宋体" w:hint="eastAsia"/>
          <w:b/>
          <w:bCs/>
          <w:color w:val="808080"/>
          <w:kern w:val="0"/>
          <w:szCs w:val="21"/>
        </w:rPr>
        <w:t>三是</w:t>
      </w:r>
      <w:r w:rsidRPr="00DA60C0">
        <w:rPr>
          <w:rFonts w:ascii="宋体" w:eastAsia="宋体" w:hAnsi="宋体" w:cs="宋体" w:hint="eastAsia"/>
          <w:color w:val="808080"/>
          <w:kern w:val="0"/>
          <w:szCs w:val="21"/>
        </w:rPr>
        <w:t>关于收费标准。根据中国结算《关于调整A股交易过户费收费标准有关事项的通知》（中国结算发字〔2015〕72号），修订了实施细则附件中沪股通及深股通交易过户费（登记过户费）的收费标准，交易过户费（登记过户费）按照成交金额0．02‰元人民币计收（双向收取）。</w:t>
      </w:r>
    </w:p>
    <w:p w:rsidR="00DA60C0" w:rsidRPr="00DA60C0" w:rsidRDefault="00DA60C0" w:rsidP="00DA60C0">
      <w:pPr>
        <w:widowControl/>
        <w:spacing w:after="120" w:line="480" w:lineRule="auto"/>
        <w:ind w:firstLine="480"/>
        <w:rPr>
          <w:rFonts w:ascii="宋体" w:eastAsia="宋体" w:hAnsi="宋体" w:cs="宋体"/>
          <w:kern w:val="0"/>
          <w:szCs w:val="21"/>
        </w:rPr>
      </w:pPr>
      <w:r w:rsidRPr="00DA60C0">
        <w:rPr>
          <w:rFonts w:ascii="宋体" w:eastAsia="宋体" w:hAnsi="宋体" w:cs="宋体" w:hint="eastAsia"/>
          <w:b/>
          <w:bCs/>
          <w:color w:val="808080"/>
          <w:kern w:val="0"/>
          <w:szCs w:val="21"/>
        </w:rPr>
        <w:t>四是</w:t>
      </w:r>
      <w:r w:rsidRPr="00DA60C0">
        <w:rPr>
          <w:rFonts w:ascii="宋体" w:eastAsia="宋体" w:hAnsi="宋体" w:cs="宋体" w:hint="eastAsia"/>
          <w:color w:val="808080"/>
          <w:kern w:val="0"/>
          <w:szCs w:val="21"/>
        </w:rPr>
        <w:t>新增了关于自然灾害等导致中国结算无法开展业务时，清算交收将按中国结算与香港结算的协议约定进行处理，并扩大了中国结算与境内结算参与人进行结算的货币范围。详细内容请参考问题4。</w:t>
      </w:r>
    </w:p>
    <w:p w:rsidR="00E37441" w:rsidRDefault="00E37441"/>
    <w:sectPr w:rsidR="00E37441" w:rsidSect="008729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B2F" w:rsidRDefault="00FC1B2F" w:rsidP="00DA60C0">
      <w:r>
        <w:separator/>
      </w:r>
    </w:p>
  </w:endnote>
  <w:endnote w:type="continuationSeparator" w:id="1">
    <w:p w:rsidR="00FC1B2F" w:rsidRDefault="00FC1B2F" w:rsidP="00DA60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B2F" w:rsidRDefault="00FC1B2F" w:rsidP="00DA60C0">
      <w:r>
        <w:separator/>
      </w:r>
    </w:p>
  </w:footnote>
  <w:footnote w:type="continuationSeparator" w:id="1">
    <w:p w:rsidR="00FC1B2F" w:rsidRDefault="00FC1B2F" w:rsidP="00DA6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3615D"/>
    <w:multiLevelType w:val="multilevel"/>
    <w:tmpl w:val="7EF8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60C0"/>
    <w:rsid w:val="00024233"/>
    <w:rsid w:val="00872997"/>
    <w:rsid w:val="00DA60C0"/>
    <w:rsid w:val="00E37441"/>
    <w:rsid w:val="00FC1B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9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6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60C0"/>
    <w:rPr>
      <w:sz w:val="18"/>
      <w:szCs w:val="18"/>
    </w:rPr>
  </w:style>
  <w:style w:type="paragraph" w:styleId="a4">
    <w:name w:val="footer"/>
    <w:basedOn w:val="a"/>
    <w:link w:val="Char0"/>
    <w:uiPriority w:val="99"/>
    <w:semiHidden/>
    <w:unhideWhenUsed/>
    <w:rsid w:val="00DA60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60C0"/>
    <w:rPr>
      <w:sz w:val="18"/>
      <w:szCs w:val="18"/>
    </w:rPr>
  </w:style>
  <w:style w:type="paragraph" w:styleId="a5">
    <w:name w:val="Normal (Web)"/>
    <w:basedOn w:val="a"/>
    <w:uiPriority w:val="99"/>
    <w:semiHidden/>
    <w:unhideWhenUsed/>
    <w:rsid w:val="00DA60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41265839">
      <w:bodyDiv w:val="1"/>
      <w:marLeft w:val="0"/>
      <w:marRight w:val="0"/>
      <w:marTop w:val="0"/>
      <w:marBottom w:val="0"/>
      <w:divBdr>
        <w:top w:val="none" w:sz="0" w:space="0" w:color="auto"/>
        <w:left w:val="none" w:sz="0" w:space="0" w:color="auto"/>
        <w:bottom w:val="none" w:sz="0" w:space="0" w:color="auto"/>
        <w:right w:val="none" w:sz="0" w:space="0" w:color="auto"/>
      </w:divBdr>
      <w:divsChild>
        <w:div w:id="1106074069">
          <w:marLeft w:val="0"/>
          <w:marRight w:val="0"/>
          <w:marTop w:val="0"/>
          <w:marBottom w:val="0"/>
          <w:divBdr>
            <w:top w:val="none" w:sz="0" w:space="0" w:color="auto"/>
            <w:left w:val="none" w:sz="0" w:space="0" w:color="auto"/>
            <w:bottom w:val="none" w:sz="0" w:space="0" w:color="auto"/>
            <w:right w:val="none" w:sz="0" w:space="0" w:color="auto"/>
          </w:divBdr>
          <w:divsChild>
            <w:div w:id="2128162661">
              <w:marLeft w:val="0"/>
              <w:marRight w:val="0"/>
              <w:marTop w:val="0"/>
              <w:marBottom w:val="0"/>
              <w:divBdr>
                <w:top w:val="none" w:sz="0" w:space="0" w:color="auto"/>
                <w:left w:val="none" w:sz="0" w:space="0" w:color="auto"/>
                <w:bottom w:val="none" w:sz="0" w:space="0" w:color="auto"/>
                <w:right w:val="none" w:sz="0" w:space="0" w:color="auto"/>
              </w:divBdr>
              <w:divsChild>
                <w:div w:id="2128354412">
                  <w:marLeft w:val="0"/>
                  <w:marRight w:val="0"/>
                  <w:marTop w:val="0"/>
                  <w:marBottom w:val="0"/>
                  <w:divBdr>
                    <w:top w:val="none" w:sz="0" w:space="0" w:color="auto"/>
                    <w:left w:val="none" w:sz="0" w:space="0" w:color="auto"/>
                    <w:bottom w:val="none" w:sz="0" w:space="0" w:color="auto"/>
                    <w:right w:val="none" w:sz="0" w:space="0" w:color="auto"/>
                  </w:divBdr>
                </w:div>
                <w:div w:id="1123426550">
                  <w:marLeft w:val="0"/>
                  <w:marRight w:val="0"/>
                  <w:marTop w:val="0"/>
                  <w:marBottom w:val="0"/>
                  <w:divBdr>
                    <w:top w:val="none" w:sz="0" w:space="0" w:color="auto"/>
                    <w:left w:val="none" w:sz="0" w:space="0" w:color="auto"/>
                    <w:bottom w:val="none" w:sz="0" w:space="0" w:color="auto"/>
                    <w:right w:val="none" w:sz="0" w:space="0" w:color="auto"/>
                  </w:divBdr>
                </w:div>
                <w:div w:id="3262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1632</Characters>
  <Application>Microsoft Office Word</Application>
  <DocSecurity>0</DocSecurity>
  <Lines>13</Lines>
  <Paragraphs>3</Paragraphs>
  <ScaleCrop>false</ScaleCrop>
  <Company>Hewlett-Packard Company</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胡敏珺/htsec</dc:creator>
  <cp:keywords/>
  <dc:description/>
  <cp:lastModifiedBy>马之遥/htsec</cp:lastModifiedBy>
  <cp:revision>3</cp:revision>
  <dcterms:created xsi:type="dcterms:W3CDTF">2016-10-11T07:48:00Z</dcterms:created>
  <dcterms:modified xsi:type="dcterms:W3CDTF">2016-10-26T09:32:00Z</dcterms:modified>
</cp:coreProperties>
</file>