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2D87">
      <w:pPr>
        <w:rPr>
          <w:rStyle w:val="fontstyle21"/>
          <w:rFonts w:hint="eastAsia"/>
        </w:rPr>
      </w:pPr>
      <w:r>
        <w:rPr>
          <w:rStyle w:val="fontstyle01"/>
        </w:rPr>
        <w:t xml:space="preserve">.1 </w:t>
      </w:r>
      <w:r>
        <w:rPr>
          <w:rStyle w:val="fontstyle21"/>
        </w:rPr>
        <w:t>什么是深港通？</w:t>
      </w:r>
    </w:p>
    <w:p w:rsidR="00432D87" w:rsidRDefault="00432D87">
      <w:pPr>
        <w:rPr>
          <w:rStyle w:val="fontstyle21"/>
          <w:rFonts w:hint="eastAsia"/>
        </w:rPr>
      </w:pPr>
      <w:r w:rsidRPr="00432D87">
        <w:rPr>
          <w:rStyle w:val="fontstyle21"/>
        </w:rPr>
        <w:t>深港通是</w:t>
      </w:r>
      <w:r w:rsidRPr="00432D87">
        <w:rPr>
          <w:rStyle w:val="fontstyle21"/>
        </w:rPr>
        <w:t>“</w:t>
      </w:r>
      <w:r w:rsidRPr="00432D87">
        <w:rPr>
          <w:rStyle w:val="fontstyle21"/>
        </w:rPr>
        <w:t>深港股票市场交易互联互通机制</w:t>
      </w:r>
      <w:r w:rsidRPr="00432D87">
        <w:rPr>
          <w:rStyle w:val="fontstyle21"/>
        </w:rPr>
        <w:t>”</w:t>
      </w:r>
      <w:r w:rsidRPr="00432D87">
        <w:rPr>
          <w:rStyle w:val="fontstyle21"/>
        </w:rPr>
        <w:t>的简称，</w:t>
      </w:r>
      <w:r w:rsidRPr="00432D87">
        <w:rPr>
          <w:rStyle w:val="fontstyle21"/>
        </w:rPr>
        <w:t xml:space="preserve"> </w:t>
      </w:r>
      <w:r w:rsidRPr="00432D87">
        <w:rPr>
          <w:rStyle w:val="fontstyle21"/>
        </w:rPr>
        <w:t>是指深交所和香港联合交易所有限公司（下称</w:t>
      </w:r>
      <w:r w:rsidRPr="00432D87">
        <w:rPr>
          <w:rStyle w:val="fontstyle21"/>
        </w:rPr>
        <w:t>“</w:t>
      </w:r>
      <w:r w:rsidRPr="00432D87">
        <w:rPr>
          <w:rStyle w:val="fontstyle21"/>
        </w:rPr>
        <w:t>联交所</w:t>
      </w:r>
      <w:r w:rsidRPr="00432D87">
        <w:rPr>
          <w:rStyle w:val="fontstyle21"/>
        </w:rPr>
        <w:t>”</w:t>
      </w:r>
      <w:r w:rsidRPr="00432D87">
        <w:rPr>
          <w:rStyle w:val="fontstyle21"/>
        </w:rPr>
        <w:t>）建立技术连接，使两地投资者通过当地证券公司或经纪商买卖规定范围内的对方交易所上市的股票。深港通包括深股通和深港通下的港股通（下称</w:t>
      </w:r>
      <w:r w:rsidRPr="00432D87">
        <w:rPr>
          <w:rStyle w:val="fontstyle21"/>
        </w:rPr>
        <w:t>“</w:t>
      </w:r>
      <w:r w:rsidRPr="00432D87">
        <w:rPr>
          <w:rStyle w:val="fontstyle21"/>
        </w:rPr>
        <w:t>港股通</w:t>
      </w:r>
      <w:r w:rsidRPr="00432D87">
        <w:rPr>
          <w:rStyle w:val="fontstyle21"/>
        </w:rPr>
        <w:t>”</w:t>
      </w:r>
      <w:r w:rsidRPr="00432D87">
        <w:rPr>
          <w:rStyle w:val="fontstyle21"/>
        </w:rPr>
        <w:t>）两部分。</w:t>
      </w:r>
      <w:r w:rsidRPr="00432D87">
        <w:rPr>
          <w:rStyle w:val="fontstyle21"/>
        </w:rPr>
        <w:t xml:space="preserve"> </w:t>
      </w:r>
      <w:r w:rsidRPr="00432D87">
        <w:rPr>
          <w:rStyle w:val="fontstyle21"/>
        </w:rPr>
        <w:t>其中，深股通是指香港投资者委托香港经纪商，经由联交所在深圳设立的证券交易服务公司（</w:t>
      </w:r>
      <w:r w:rsidRPr="00432D87">
        <w:rPr>
          <w:rStyle w:val="fontstyle21"/>
        </w:rPr>
        <w:t>SPV</w:t>
      </w:r>
      <w:r w:rsidRPr="00432D87">
        <w:rPr>
          <w:rStyle w:val="fontstyle21"/>
        </w:rPr>
        <w:t>），</w:t>
      </w:r>
      <w:r w:rsidRPr="00432D87">
        <w:rPr>
          <w:rStyle w:val="fontstyle21"/>
        </w:rPr>
        <w:t xml:space="preserve"> </w:t>
      </w:r>
      <w:r w:rsidRPr="00432D87">
        <w:rPr>
          <w:rStyle w:val="fontstyle21"/>
        </w:rPr>
        <w:t>向深交所进行申报，买卖规定范围内的深交所上市的股票；港股通是指内地投资者委托内地证券公司，经由深交所在香港设立的证券交易服务公司（</w:t>
      </w:r>
      <w:r w:rsidRPr="00432D87">
        <w:rPr>
          <w:rStyle w:val="fontstyle21"/>
        </w:rPr>
        <w:t>SPV</w:t>
      </w:r>
      <w:r w:rsidRPr="00432D87">
        <w:rPr>
          <w:rStyle w:val="fontstyle21"/>
        </w:rPr>
        <w:t>），向联交所进行申报，买卖规定范围内的联交所上市的股票。</w:t>
      </w:r>
    </w:p>
    <w:p w:rsidR="00432D87" w:rsidRDefault="00432D87">
      <w:pPr>
        <w:rPr>
          <w:rStyle w:val="fontstyle21"/>
          <w:rFonts w:hint="eastAsia"/>
        </w:rPr>
      </w:pPr>
    </w:p>
    <w:p w:rsidR="00432D87" w:rsidRPr="00432D87" w:rsidRDefault="00432D87">
      <w:pPr>
        <w:rPr>
          <w:rStyle w:val="fontstyle21"/>
          <w:rFonts w:hint="eastAsia"/>
        </w:rPr>
      </w:pPr>
      <w:r>
        <w:rPr>
          <w:rStyle w:val="fontstyle21"/>
          <w:rFonts w:hint="eastAsia"/>
        </w:rPr>
        <w:t xml:space="preserve">2 </w:t>
      </w:r>
      <w:r w:rsidRPr="00432D87">
        <w:rPr>
          <w:rStyle w:val="fontstyle21"/>
        </w:rPr>
        <w:t>深港通的特色有哪些？</w:t>
      </w:r>
    </w:p>
    <w:p w:rsidR="00432D87" w:rsidRPr="00432D87" w:rsidRDefault="00432D87">
      <w:pPr>
        <w:rPr>
          <w:rStyle w:val="fontstyle21"/>
          <w:rFonts w:hint="eastAsia"/>
        </w:rPr>
      </w:pPr>
      <w:r w:rsidRPr="00432D87">
        <w:rPr>
          <w:rStyle w:val="fontstyle21"/>
        </w:rPr>
        <w:t>一、转托管服务提供多种选择，投资者可将在深交所上市的某股票（或部分）托管至自己选定的一个或多个证券公司，方便投资者进行证券买卖、证券与资金查询等各项业务的统一操作；</w:t>
      </w:r>
      <w:r w:rsidRPr="00432D87">
        <w:rPr>
          <w:rStyle w:val="fontstyle21"/>
        </w:rPr>
        <w:br/>
      </w:r>
      <w:r w:rsidRPr="00432D87">
        <w:rPr>
          <w:rStyle w:val="fontstyle21"/>
        </w:rPr>
        <w:t>二、毗邻香港发挥地缘优势，采取专线直连，交易速度得到提升；</w:t>
      </w:r>
    </w:p>
    <w:p w:rsidR="00432D87" w:rsidRPr="00432D87" w:rsidRDefault="00432D87">
      <w:pPr>
        <w:rPr>
          <w:rStyle w:val="fontstyle21"/>
          <w:rFonts w:hint="eastAsia"/>
        </w:rPr>
      </w:pPr>
      <w:r w:rsidRPr="00432D87">
        <w:rPr>
          <w:rStyle w:val="fontstyle21"/>
        </w:rPr>
        <w:t>三、深交所采用第五代交易系统，消除线路时延的地域差异，保证集中高</w:t>
      </w:r>
      <w:r w:rsidRPr="00432D87">
        <w:rPr>
          <w:rStyle w:val="fontstyle21"/>
        </w:rPr>
        <w:br/>
      </w:r>
      <w:r w:rsidRPr="00432D87">
        <w:rPr>
          <w:rStyle w:val="fontstyle21"/>
        </w:rPr>
        <w:t>效安全的交易；</w:t>
      </w:r>
      <w:r w:rsidRPr="00432D87">
        <w:rPr>
          <w:rStyle w:val="fontstyle21"/>
        </w:rPr>
        <w:br/>
      </w:r>
      <w:r w:rsidRPr="00432D87">
        <w:rPr>
          <w:rStyle w:val="fontstyle21"/>
        </w:rPr>
        <w:t>四、具有市场特色，深股通范围涵盖部分主板、中小企业板、创业板上市</w:t>
      </w:r>
      <w:r w:rsidRPr="00432D87">
        <w:rPr>
          <w:rStyle w:val="fontstyle21"/>
        </w:rPr>
        <w:br/>
      </w:r>
      <w:r w:rsidRPr="00432D87">
        <w:rPr>
          <w:rStyle w:val="fontstyle21"/>
        </w:rPr>
        <w:t>公司股票，凸显了新兴行业集中、成长特征鲜明的市场特色；港股通范围涵盖</w:t>
      </w:r>
      <w:r w:rsidRPr="00432D87">
        <w:rPr>
          <w:rStyle w:val="fontstyle21"/>
        </w:rPr>
        <w:br/>
      </w:r>
      <w:r w:rsidRPr="00432D87">
        <w:rPr>
          <w:rStyle w:val="fontstyle21"/>
        </w:rPr>
        <w:t>部分恒生综合小型股指数的成份股，为境内投资者提供更为丰富的投资选择；</w:t>
      </w:r>
      <w:r w:rsidRPr="00432D87">
        <w:rPr>
          <w:rStyle w:val="fontstyle21"/>
        </w:rPr>
        <w:br/>
      </w:r>
      <w:r w:rsidRPr="00432D87">
        <w:rPr>
          <w:rStyle w:val="fontstyle21"/>
        </w:rPr>
        <w:t>五、深股通投资者买卖创业板股票，不适用中国证监会及深交所创业板市</w:t>
      </w:r>
      <w:r w:rsidRPr="00432D87">
        <w:rPr>
          <w:rStyle w:val="fontstyle21"/>
        </w:rPr>
        <w:br/>
      </w:r>
      <w:r w:rsidRPr="00432D87">
        <w:rPr>
          <w:rStyle w:val="fontstyle21"/>
        </w:rPr>
        <w:t>场适当性管理的相关规定，但须遵守香港股票市场的相关监管规定和业务规则。</w:t>
      </w:r>
    </w:p>
    <w:p w:rsidR="00432D87" w:rsidRPr="00432D87" w:rsidRDefault="00432D87">
      <w:pPr>
        <w:rPr>
          <w:rStyle w:val="fontstyle21"/>
          <w:rFonts w:hint="eastAsia"/>
        </w:rPr>
      </w:pPr>
    </w:p>
    <w:p w:rsidR="00432D87" w:rsidRPr="00432D87" w:rsidRDefault="00432D87">
      <w:pPr>
        <w:rPr>
          <w:rStyle w:val="fontstyle21"/>
          <w:rFonts w:hint="eastAsia"/>
        </w:rPr>
      </w:pPr>
      <w:r>
        <w:rPr>
          <w:rStyle w:val="fontstyle21"/>
          <w:rFonts w:hint="eastAsia"/>
        </w:rPr>
        <w:t xml:space="preserve">3 </w:t>
      </w:r>
      <w:r w:rsidRPr="00432D87">
        <w:rPr>
          <w:rStyle w:val="fontstyle21"/>
        </w:rPr>
        <w:t>深港通规定范围内的标的股票有哪些</w:t>
      </w:r>
      <w:r w:rsidRPr="00432D87">
        <w:rPr>
          <w:rStyle w:val="fontstyle21"/>
        </w:rPr>
        <w:t>?</w:t>
      </w:r>
    </w:p>
    <w:p w:rsidR="00432D87" w:rsidRDefault="00432D87">
      <w:pPr>
        <w:rPr>
          <w:rStyle w:val="fontstyle21"/>
          <w:rFonts w:hint="eastAsia"/>
        </w:rPr>
      </w:pPr>
      <w:r w:rsidRPr="00432D87">
        <w:rPr>
          <w:rStyle w:val="fontstyle21"/>
        </w:rPr>
        <w:t>深股通股票范围包括：（</w:t>
      </w:r>
      <w:r w:rsidRPr="00432D87">
        <w:rPr>
          <w:rStyle w:val="fontstyle21"/>
        </w:rPr>
        <w:t>1</w:t>
      </w:r>
      <w:r w:rsidRPr="00432D87">
        <w:rPr>
          <w:rStyle w:val="fontstyle21"/>
        </w:rPr>
        <w:t>）定期调整考察截止日前六个月</w:t>
      </w:r>
      <w:r w:rsidRPr="00432D87">
        <w:rPr>
          <w:rStyle w:val="fontstyle21"/>
        </w:rPr>
        <w:t>A</w:t>
      </w:r>
      <w:r w:rsidRPr="00432D87">
        <w:rPr>
          <w:rStyle w:val="fontstyle21"/>
        </w:rPr>
        <w:t>股日均市值不低于人民币</w:t>
      </w:r>
      <w:r w:rsidRPr="00432D87">
        <w:rPr>
          <w:rStyle w:val="fontstyle21"/>
        </w:rPr>
        <w:t>60</w:t>
      </w:r>
      <w:r w:rsidRPr="00432D87">
        <w:rPr>
          <w:rStyle w:val="fontstyle21"/>
        </w:rPr>
        <w:t>亿元的深证成份指数和深证中小创新指数的成份股；（</w:t>
      </w:r>
      <w:r w:rsidRPr="00432D87">
        <w:rPr>
          <w:rStyle w:val="fontstyle21"/>
        </w:rPr>
        <w:t>2</w:t>
      </w:r>
      <w:r w:rsidRPr="00432D87">
        <w:rPr>
          <w:rStyle w:val="fontstyle21"/>
        </w:rPr>
        <w:t>）</w:t>
      </w:r>
      <w:r w:rsidRPr="00432D87">
        <w:rPr>
          <w:rStyle w:val="fontstyle21"/>
        </w:rPr>
        <w:t xml:space="preserve"> A+H</w:t>
      </w:r>
      <w:r w:rsidRPr="00432D87">
        <w:rPr>
          <w:rStyle w:val="fontstyle21"/>
        </w:rPr>
        <w:t>股上市公司在深交所上市的</w:t>
      </w:r>
      <w:r w:rsidRPr="00432D87">
        <w:rPr>
          <w:rStyle w:val="fontstyle21"/>
        </w:rPr>
        <w:t>A</w:t>
      </w:r>
      <w:r w:rsidRPr="00432D87">
        <w:rPr>
          <w:rStyle w:val="fontstyle21"/>
        </w:rPr>
        <w:t>股，但不包括被深交所实施风险警示、被暂停上市、进入退市整理期以及以外币报价交易的股票。港股通股票范围包括：（</w:t>
      </w:r>
      <w:r w:rsidRPr="00432D87">
        <w:rPr>
          <w:rStyle w:val="fontstyle21"/>
        </w:rPr>
        <w:t>1</w:t>
      </w:r>
      <w:r w:rsidRPr="00432D87">
        <w:rPr>
          <w:rStyle w:val="fontstyle21"/>
        </w:rPr>
        <w:t>）恒生综合大型股指数的成份股；（</w:t>
      </w:r>
      <w:r w:rsidRPr="00432D87">
        <w:rPr>
          <w:rStyle w:val="fontstyle21"/>
        </w:rPr>
        <w:t>2</w:t>
      </w:r>
      <w:r w:rsidRPr="00432D87">
        <w:rPr>
          <w:rStyle w:val="fontstyle21"/>
        </w:rPr>
        <w:t>）恒生综合中型股指数的成份股；（</w:t>
      </w:r>
      <w:r w:rsidRPr="00432D87">
        <w:rPr>
          <w:rStyle w:val="fontstyle21"/>
        </w:rPr>
        <w:t>3</w:t>
      </w:r>
      <w:r w:rsidRPr="00432D87">
        <w:rPr>
          <w:rStyle w:val="fontstyle21"/>
        </w:rPr>
        <w:t>）定期调整考察截止日前十二个月港股平均月末市值不低于港币</w:t>
      </w:r>
      <w:r w:rsidRPr="00432D87">
        <w:rPr>
          <w:rStyle w:val="fontstyle21"/>
        </w:rPr>
        <w:t>50</w:t>
      </w:r>
      <w:r w:rsidRPr="00432D87">
        <w:rPr>
          <w:rStyle w:val="fontstyle21"/>
        </w:rPr>
        <w:t>亿元的恒生综合小型股指数的成份股；（</w:t>
      </w:r>
      <w:r w:rsidRPr="00432D87">
        <w:rPr>
          <w:rStyle w:val="fontstyle21"/>
        </w:rPr>
        <w:t>4</w:t>
      </w:r>
      <w:r w:rsidRPr="00432D87">
        <w:rPr>
          <w:rStyle w:val="fontstyle21"/>
        </w:rPr>
        <w:t>）</w:t>
      </w:r>
      <w:r w:rsidRPr="00432D87">
        <w:rPr>
          <w:rStyle w:val="fontstyle21"/>
        </w:rPr>
        <w:t xml:space="preserve"> A+H</w:t>
      </w:r>
      <w:r w:rsidRPr="00432D87">
        <w:rPr>
          <w:rStyle w:val="fontstyle21"/>
        </w:rPr>
        <w:t>股上市公司在联交所上市的</w:t>
      </w:r>
      <w:r w:rsidRPr="00432D87">
        <w:rPr>
          <w:rStyle w:val="fontstyle21"/>
        </w:rPr>
        <w:t>H</w:t>
      </w:r>
      <w:r w:rsidRPr="00432D87">
        <w:rPr>
          <w:rStyle w:val="fontstyle21"/>
        </w:rPr>
        <w:t>股，但不包括：（</w:t>
      </w:r>
      <w:r w:rsidRPr="00432D87">
        <w:rPr>
          <w:rStyle w:val="fontstyle21"/>
        </w:rPr>
        <w:t>1</w:t>
      </w:r>
      <w:r w:rsidRPr="00432D87">
        <w:rPr>
          <w:rStyle w:val="fontstyle21"/>
        </w:rPr>
        <w:t>）</w:t>
      </w:r>
      <w:r w:rsidRPr="00432D87">
        <w:rPr>
          <w:rStyle w:val="fontstyle21"/>
        </w:rPr>
        <w:t>A</w:t>
      </w:r>
      <w:r w:rsidRPr="00432D87">
        <w:rPr>
          <w:rStyle w:val="fontstyle21"/>
        </w:rPr>
        <w:t>股被深交所实施风险警示、被暂停上市或者进入退市整理期的相应</w:t>
      </w:r>
      <w:r w:rsidRPr="00432D87">
        <w:rPr>
          <w:rStyle w:val="fontstyle21"/>
        </w:rPr>
        <w:t>H</w:t>
      </w:r>
      <w:r w:rsidRPr="00432D87">
        <w:rPr>
          <w:rStyle w:val="fontstyle21"/>
        </w:rPr>
        <w:t>股；（</w:t>
      </w:r>
      <w:r w:rsidRPr="00432D87">
        <w:rPr>
          <w:rStyle w:val="fontstyle21"/>
        </w:rPr>
        <w:t>2</w:t>
      </w:r>
      <w:r w:rsidRPr="00432D87">
        <w:rPr>
          <w:rStyle w:val="fontstyle21"/>
        </w:rPr>
        <w:t>）</w:t>
      </w:r>
      <w:r w:rsidRPr="00432D87">
        <w:rPr>
          <w:rStyle w:val="fontstyle21"/>
        </w:rPr>
        <w:t>A</w:t>
      </w:r>
      <w:r w:rsidRPr="00432D87">
        <w:rPr>
          <w:rStyle w:val="fontstyle21"/>
        </w:rPr>
        <w:t>股在上交所风险警示板交易或被上交所暂停上市的</w:t>
      </w:r>
      <w:r w:rsidRPr="00432D87">
        <w:rPr>
          <w:rStyle w:val="fontstyle21"/>
        </w:rPr>
        <w:t>A+H</w:t>
      </w:r>
      <w:r w:rsidRPr="00432D87">
        <w:rPr>
          <w:rStyle w:val="fontstyle21"/>
        </w:rPr>
        <w:t>股上市公司的相应</w:t>
      </w:r>
      <w:r w:rsidRPr="00432D87">
        <w:rPr>
          <w:rStyle w:val="fontstyle21"/>
        </w:rPr>
        <w:t>H</w:t>
      </w:r>
      <w:r w:rsidRPr="00432D87">
        <w:rPr>
          <w:rStyle w:val="fontstyle21"/>
        </w:rPr>
        <w:t>股；（</w:t>
      </w:r>
      <w:r w:rsidRPr="00432D87">
        <w:rPr>
          <w:rStyle w:val="fontstyle21"/>
        </w:rPr>
        <w:t>3</w:t>
      </w:r>
      <w:r w:rsidRPr="00432D87">
        <w:rPr>
          <w:rStyle w:val="fontstyle21"/>
        </w:rPr>
        <w:t>）在联交所以港币以外货币报价交易的股票。</w:t>
      </w:r>
    </w:p>
    <w:p w:rsidR="00432D87" w:rsidRDefault="00432D87">
      <w:pPr>
        <w:rPr>
          <w:rStyle w:val="fontstyle21"/>
          <w:rFonts w:hint="eastAsia"/>
        </w:rPr>
      </w:pPr>
    </w:p>
    <w:p w:rsidR="00432D87" w:rsidRPr="004C381B" w:rsidRDefault="00432D87">
      <w:pPr>
        <w:rPr>
          <w:rStyle w:val="fontstyle21"/>
          <w:rFonts w:hint="eastAsia"/>
        </w:rPr>
      </w:pPr>
      <w:r>
        <w:rPr>
          <w:rStyle w:val="fontstyle21"/>
          <w:rFonts w:hint="eastAsia"/>
        </w:rPr>
        <w:t xml:space="preserve">4 </w:t>
      </w:r>
      <w:r w:rsidRPr="004C381B">
        <w:rPr>
          <w:rStyle w:val="fontstyle21"/>
        </w:rPr>
        <w:t>市值筛选标准具体如何实施？</w:t>
      </w:r>
    </w:p>
    <w:p w:rsidR="00432D87" w:rsidRPr="004C381B" w:rsidRDefault="00432D87">
      <w:pPr>
        <w:rPr>
          <w:rStyle w:val="fontstyle21"/>
          <w:rFonts w:hint="eastAsia"/>
        </w:rPr>
      </w:pPr>
      <w:r w:rsidRPr="004C381B">
        <w:rPr>
          <w:rStyle w:val="fontstyle21"/>
        </w:rPr>
        <w:t>为防范中小市值股票跨境市场炒作和操纵风险，深港通对标的股票引入市值筛选标准，并明确了标的调整机制中的市值标准适用情形。对于市值标准适用情形：一是市值调整仅适用于指数成份股定期调整。为避免因市值波动频繁调整标的范围，给市场投资操作带来不必要的影响，市值标准仅在指数成份股定期调整时执行；二是市值标准的考察期、计算方法与指数成份股定期调整保持一致。深股通标的市值计算方法为指数成份股定期调整考察截止日前六个月的</w:t>
      </w:r>
      <w:r w:rsidRPr="004C381B">
        <w:rPr>
          <w:rStyle w:val="fontstyle21"/>
        </w:rPr>
        <w:t>A</w:t>
      </w:r>
      <w:r w:rsidRPr="004C381B">
        <w:rPr>
          <w:rStyle w:val="fontstyle21"/>
        </w:rPr>
        <w:t>股日均市值，港股通标的市值计算方法为指数成份股定期调整考察截止日前十二个月的港股平均月末市值；三是</w:t>
      </w:r>
      <w:r w:rsidRPr="004C381B">
        <w:rPr>
          <w:rStyle w:val="fontstyle21"/>
        </w:rPr>
        <w:t>A+H</w:t>
      </w:r>
      <w:r w:rsidRPr="004C381B">
        <w:rPr>
          <w:rStyle w:val="fontstyle21"/>
        </w:rPr>
        <w:t>股不进行市值筛选。</w:t>
      </w:r>
    </w:p>
    <w:p w:rsidR="00432D87" w:rsidRDefault="00432D87">
      <w:pPr>
        <w:rPr>
          <w:rFonts w:ascii="FZZDXJW--GB1-0" w:hAnsi="FZZDXJW--GB1-0" w:hint="eastAsia"/>
          <w:color w:val="2F3030"/>
          <w:sz w:val="20"/>
          <w:szCs w:val="20"/>
        </w:rPr>
      </w:pPr>
    </w:p>
    <w:p w:rsidR="00432D87" w:rsidRPr="004C381B" w:rsidRDefault="001540FB">
      <w:pPr>
        <w:rPr>
          <w:rStyle w:val="fontstyle21"/>
          <w:rFonts w:hint="eastAsia"/>
        </w:rPr>
      </w:pPr>
      <w:r w:rsidRPr="004C381B">
        <w:rPr>
          <w:rStyle w:val="fontstyle21"/>
        </w:rPr>
        <w:t xml:space="preserve">5  </w:t>
      </w:r>
      <w:r w:rsidRPr="004C381B">
        <w:rPr>
          <w:rStyle w:val="fontstyle21"/>
        </w:rPr>
        <w:t>港股通额度控制如何实施？</w:t>
      </w:r>
    </w:p>
    <w:p w:rsidR="001540FB" w:rsidRPr="004C381B" w:rsidRDefault="001540FB">
      <w:pPr>
        <w:rPr>
          <w:rStyle w:val="fontstyle21"/>
          <w:rFonts w:hint="eastAsia"/>
        </w:rPr>
      </w:pPr>
      <w:r w:rsidRPr="004C381B">
        <w:rPr>
          <w:rStyle w:val="fontstyle21"/>
        </w:rPr>
        <w:t>港股通每日额度为人民币</w:t>
      </w:r>
      <w:r w:rsidRPr="004C381B">
        <w:rPr>
          <w:rStyle w:val="fontstyle21"/>
        </w:rPr>
        <w:t>105</w:t>
      </w:r>
      <w:r w:rsidRPr="004C381B">
        <w:rPr>
          <w:rStyle w:val="fontstyle21"/>
        </w:rPr>
        <w:t>亿元。港股通当日额度余额的计算公式为：当日额度余额</w:t>
      </w:r>
      <w:r w:rsidRPr="004C381B">
        <w:rPr>
          <w:rStyle w:val="fontstyle21"/>
        </w:rPr>
        <w:t>=</w:t>
      </w:r>
      <w:r w:rsidRPr="004C381B">
        <w:rPr>
          <w:rStyle w:val="fontstyle21"/>
        </w:rPr>
        <w:t>港股通每日额度</w:t>
      </w:r>
      <w:r w:rsidRPr="004C381B">
        <w:rPr>
          <w:rStyle w:val="fontstyle21"/>
        </w:rPr>
        <w:t>-</w:t>
      </w:r>
      <w:r w:rsidRPr="004C381B">
        <w:rPr>
          <w:rStyle w:val="fontstyle21"/>
        </w:rPr>
        <w:t>买入申报金额</w:t>
      </w:r>
      <w:r w:rsidRPr="004C381B">
        <w:rPr>
          <w:rStyle w:val="fontstyle21"/>
        </w:rPr>
        <w:t>+</w:t>
      </w:r>
      <w:r w:rsidRPr="004C381B">
        <w:rPr>
          <w:rStyle w:val="fontstyle21"/>
        </w:rPr>
        <w:t>卖出成交金额</w:t>
      </w:r>
      <w:r w:rsidRPr="004C381B">
        <w:rPr>
          <w:rStyle w:val="fontstyle21"/>
        </w:rPr>
        <w:t>+</w:t>
      </w:r>
      <w:r w:rsidRPr="004C381B">
        <w:rPr>
          <w:rStyle w:val="fontstyle21"/>
        </w:rPr>
        <w:t>被撤销和被联交所拒绝接受的买入申报金额</w:t>
      </w:r>
      <w:r w:rsidRPr="004C381B">
        <w:rPr>
          <w:rStyle w:val="fontstyle21"/>
        </w:rPr>
        <w:t>+</w:t>
      </w:r>
      <w:r w:rsidRPr="004C381B">
        <w:rPr>
          <w:rStyle w:val="fontstyle21"/>
        </w:rPr>
        <w:t>买入成交价低于申报价的差额。港股通每日额度控制机制在不同的交易时段安排如下：</w:t>
      </w:r>
      <w:r w:rsidRPr="004C381B">
        <w:rPr>
          <w:rStyle w:val="fontstyle21"/>
        </w:rPr>
        <w:t xml:space="preserve"> </w:t>
      </w:r>
      <w:r w:rsidRPr="004C381B">
        <w:rPr>
          <w:rStyle w:val="fontstyle21"/>
        </w:rPr>
        <w:t>港股通交易日</w:t>
      </w:r>
      <w:r w:rsidRPr="004C381B">
        <w:rPr>
          <w:rStyle w:val="fontstyle21"/>
        </w:rPr>
        <w:t>9:00-9:15</w:t>
      </w:r>
      <w:r w:rsidRPr="004C381B">
        <w:rPr>
          <w:rStyle w:val="fontstyle21"/>
        </w:rPr>
        <w:t>时段，当每日额度余额小于或等于</w:t>
      </w:r>
      <w:r w:rsidRPr="004C381B">
        <w:rPr>
          <w:rStyle w:val="fontstyle21"/>
        </w:rPr>
        <w:t>0</w:t>
      </w:r>
      <w:r w:rsidRPr="004C381B">
        <w:rPr>
          <w:rStyle w:val="fontstyle21"/>
        </w:rPr>
        <w:t>时，该时段后续仅接受卖出、撤单申报；</w:t>
      </w:r>
      <w:r w:rsidRPr="004C381B">
        <w:rPr>
          <w:rStyle w:val="fontstyle21"/>
        </w:rPr>
        <w:t xml:space="preserve"> </w:t>
      </w:r>
      <w:r w:rsidRPr="004C381B">
        <w:rPr>
          <w:rStyle w:val="fontstyle21"/>
        </w:rPr>
        <w:t>如果该时段后续随着买单撤销等情况使每日额度余额大于</w:t>
      </w:r>
      <w:r w:rsidRPr="004C381B">
        <w:rPr>
          <w:rStyle w:val="fontstyle21"/>
        </w:rPr>
        <w:t>0</w:t>
      </w:r>
      <w:r w:rsidRPr="004C381B">
        <w:rPr>
          <w:rStyle w:val="fontstyle21"/>
        </w:rPr>
        <w:t>，</w:t>
      </w:r>
      <w:r w:rsidRPr="004C381B">
        <w:rPr>
          <w:rStyle w:val="fontstyle21"/>
        </w:rPr>
        <w:t xml:space="preserve"> 9:30</w:t>
      </w:r>
      <w:r w:rsidRPr="004C381B">
        <w:rPr>
          <w:rStyle w:val="fontstyle21"/>
        </w:rPr>
        <w:t>开始重新接受买入申报；如果</w:t>
      </w:r>
      <w:r w:rsidRPr="004C381B">
        <w:rPr>
          <w:rStyle w:val="fontstyle21"/>
        </w:rPr>
        <w:t>9:30</w:t>
      </w:r>
      <w:r w:rsidRPr="004C381B">
        <w:rPr>
          <w:rStyle w:val="fontstyle21"/>
        </w:rPr>
        <w:t>之后时段，出现每日额度余额出现小于或等于</w:t>
      </w:r>
      <w:r w:rsidRPr="004C381B">
        <w:rPr>
          <w:rStyle w:val="fontstyle21"/>
        </w:rPr>
        <w:t>0</w:t>
      </w:r>
      <w:r w:rsidRPr="004C381B">
        <w:rPr>
          <w:rStyle w:val="fontstyle21"/>
        </w:rPr>
        <w:t>时，</w:t>
      </w:r>
      <w:r w:rsidRPr="004C381B">
        <w:rPr>
          <w:rStyle w:val="fontstyle21"/>
        </w:rPr>
        <w:t xml:space="preserve"> </w:t>
      </w:r>
      <w:r w:rsidRPr="004C381B">
        <w:rPr>
          <w:rStyle w:val="fontstyle21"/>
        </w:rPr>
        <w:t>剩余交易时间均不再接受买入申报，但仍然接受卖出申报。</w:t>
      </w:r>
    </w:p>
    <w:p w:rsidR="001540FB" w:rsidRDefault="001540FB">
      <w:pPr>
        <w:rPr>
          <w:rFonts w:ascii="FZZDXJW--GB1-0" w:hAnsi="FZZDXJW--GB1-0" w:hint="eastAsia"/>
          <w:color w:val="2F3030"/>
          <w:sz w:val="20"/>
          <w:szCs w:val="20"/>
        </w:rPr>
      </w:pPr>
    </w:p>
    <w:p w:rsidR="001540FB" w:rsidRPr="004C381B" w:rsidRDefault="001540FB">
      <w:pPr>
        <w:rPr>
          <w:rStyle w:val="fontstyle21"/>
          <w:rFonts w:hint="eastAsia"/>
        </w:rPr>
      </w:pPr>
      <w:r w:rsidRPr="004C381B">
        <w:rPr>
          <w:rStyle w:val="fontstyle21"/>
          <w:rFonts w:hint="eastAsia"/>
        </w:rPr>
        <w:t xml:space="preserve">6  </w:t>
      </w:r>
      <w:r w:rsidRPr="004C381B">
        <w:rPr>
          <w:rStyle w:val="fontstyle21"/>
        </w:rPr>
        <w:t>投资者通过港股通买卖港股使用哪种币种？</w:t>
      </w:r>
    </w:p>
    <w:p w:rsidR="001540FB" w:rsidRPr="004C381B" w:rsidRDefault="001540FB">
      <w:pPr>
        <w:rPr>
          <w:rStyle w:val="fontstyle21"/>
          <w:rFonts w:hint="eastAsia"/>
        </w:rPr>
      </w:pPr>
      <w:r w:rsidRPr="004C381B">
        <w:rPr>
          <w:rStyle w:val="fontstyle21"/>
        </w:rPr>
        <w:t>港股通交易，以港币报价成交，以人民币清算并交收。港股通投资者在进行人民币与港币之间的换算时，需区分参考汇率与结算汇兑比率两个概念的差异。投资者可登录深港通子网站（</w:t>
      </w:r>
      <w:r w:rsidRPr="004C381B">
        <w:rPr>
          <w:rStyle w:val="fontstyle21"/>
        </w:rPr>
        <w:t>http://www.szse.cn/main/szhk</w:t>
      </w:r>
      <w:r w:rsidRPr="004C381B">
        <w:rPr>
          <w:rStyle w:val="fontstyle21"/>
        </w:rPr>
        <w:t>）查询参考汇率和结算汇兑比率。更多换汇方面的内容请参见本指南</w:t>
      </w:r>
      <w:r w:rsidRPr="004C381B">
        <w:rPr>
          <w:rStyle w:val="fontstyle21"/>
        </w:rPr>
        <w:t>“</w:t>
      </w:r>
      <w:r w:rsidRPr="004C381B">
        <w:rPr>
          <w:rStyle w:val="fontstyle21"/>
        </w:rPr>
        <w:t>港股通的换汇安排</w:t>
      </w:r>
      <w:r w:rsidRPr="004C381B">
        <w:rPr>
          <w:rStyle w:val="fontstyle21"/>
        </w:rPr>
        <w:t>”</w:t>
      </w:r>
      <w:r w:rsidRPr="004C381B">
        <w:rPr>
          <w:rStyle w:val="fontstyle21"/>
        </w:rPr>
        <w:t>相关内容。</w:t>
      </w:r>
    </w:p>
    <w:p w:rsidR="001540FB" w:rsidRPr="004C381B" w:rsidRDefault="001540FB">
      <w:pPr>
        <w:rPr>
          <w:rStyle w:val="fontstyle21"/>
          <w:rFonts w:hint="eastAsia"/>
        </w:rPr>
      </w:pPr>
    </w:p>
    <w:p w:rsidR="001540FB" w:rsidRPr="004C381B" w:rsidRDefault="001540FB">
      <w:pPr>
        <w:rPr>
          <w:rStyle w:val="fontstyle21"/>
          <w:rFonts w:hint="eastAsia"/>
        </w:rPr>
      </w:pPr>
      <w:r w:rsidRPr="004C381B">
        <w:rPr>
          <w:rStyle w:val="fontstyle21"/>
          <w:rFonts w:hint="eastAsia"/>
        </w:rPr>
        <w:t xml:space="preserve">7 </w:t>
      </w:r>
      <w:r w:rsidRPr="004C381B">
        <w:rPr>
          <w:rStyle w:val="fontstyle21"/>
        </w:rPr>
        <w:t>香港上市公司的行业分布如何？</w:t>
      </w:r>
    </w:p>
    <w:p w:rsidR="001540FB" w:rsidRPr="004C381B" w:rsidRDefault="001540FB">
      <w:pPr>
        <w:rPr>
          <w:rStyle w:val="fontstyle21"/>
          <w:rFonts w:hint="eastAsia"/>
        </w:rPr>
      </w:pPr>
      <w:r w:rsidRPr="004C381B">
        <w:rPr>
          <w:rStyle w:val="fontstyle21"/>
        </w:rPr>
        <w:t>截至</w:t>
      </w:r>
      <w:r w:rsidRPr="004C381B">
        <w:rPr>
          <w:rStyle w:val="fontstyle21"/>
        </w:rPr>
        <w:t>2016</w:t>
      </w:r>
      <w:r w:rsidRPr="004C381B">
        <w:rPr>
          <w:rStyle w:val="fontstyle21"/>
        </w:rPr>
        <w:t>年</w:t>
      </w:r>
      <w:r w:rsidRPr="004C381B">
        <w:rPr>
          <w:rStyle w:val="fontstyle21"/>
        </w:rPr>
        <w:t>6</w:t>
      </w:r>
      <w:r w:rsidRPr="004C381B">
        <w:rPr>
          <w:rStyle w:val="fontstyle21"/>
        </w:rPr>
        <w:t>月</w:t>
      </w:r>
      <w:r w:rsidRPr="004C381B">
        <w:rPr>
          <w:rStyle w:val="fontstyle21"/>
        </w:rPr>
        <w:t>30</w:t>
      </w:r>
      <w:r w:rsidRPr="004C381B">
        <w:rPr>
          <w:rStyle w:val="fontstyle21"/>
        </w:rPr>
        <w:t>日，香港股票市场共有</w:t>
      </w:r>
      <w:r w:rsidRPr="004C381B">
        <w:rPr>
          <w:rStyle w:val="fontstyle21"/>
        </w:rPr>
        <w:t>1902</w:t>
      </w:r>
      <w:r w:rsidRPr="004C381B">
        <w:rPr>
          <w:rStyle w:val="fontstyle21"/>
        </w:rPr>
        <w:t>家上市公司，总市值约</w:t>
      </w:r>
      <w:r w:rsidRPr="004C381B">
        <w:rPr>
          <w:rStyle w:val="fontstyle21"/>
        </w:rPr>
        <w:t>23</w:t>
      </w:r>
      <w:r w:rsidRPr="004C381B">
        <w:rPr>
          <w:rStyle w:val="fontstyle21"/>
        </w:rPr>
        <w:t>万亿元港币，</w:t>
      </w:r>
      <w:r w:rsidRPr="004C381B">
        <w:rPr>
          <w:rStyle w:val="fontstyle21"/>
        </w:rPr>
        <w:t xml:space="preserve"> 2016</w:t>
      </w:r>
      <w:r w:rsidRPr="004C381B">
        <w:rPr>
          <w:rStyle w:val="fontstyle21"/>
        </w:rPr>
        <w:t>年</w:t>
      </w:r>
      <w:r w:rsidRPr="004C381B">
        <w:rPr>
          <w:rStyle w:val="fontstyle21"/>
        </w:rPr>
        <w:t>1</w:t>
      </w:r>
      <w:r w:rsidRPr="004C381B">
        <w:rPr>
          <w:rStyle w:val="fontstyle21"/>
        </w:rPr>
        <w:t>月</w:t>
      </w:r>
      <w:r w:rsidRPr="004C381B">
        <w:rPr>
          <w:rStyle w:val="fontstyle21"/>
        </w:rPr>
        <w:t>-2016</w:t>
      </w:r>
      <w:r w:rsidRPr="004C381B">
        <w:rPr>
          <w:rStyle w:val="fontstyle21"/>
        </w:rPr>
        <w:t>年</w:t>
      </w:r>
      <w:r w:rsidRPr="004C381B">
        <w:rPr>
          <w:rStyle w:val="fontstyle21"/>
        </w:rPr>
        <w:t>6</w:t>
      </w:r>
      <w:r w:rsidRPr="004C381B">
        <w:rPr>
          <w:rStyle w:val="fontstyle21"/>
        </w:rPr>
        <w:t>月底</w:t>
      </w:r>
      <w:r w:rsidRPr="004C381B">
        <w:rPr>
          <w:rStyle w:val="fontstyle21"/>
        </w:rPr>
        <w:t xml:space="preserve"> </w:t>
      </w:r>
      <w:r w:rsidRPr="004C381B">
        <w:rPr>
          <w:rStyle w:val="fontstyle21"/>
        </w:rPr>
        <w:t>，日均成交额</w:t>
      </w:r>
      <w:r w:rsidRPr="004C381B">
        <w:rPr>
          <w:rStyle w:val="fontstyle21"/>
        </w:rPr>
        <w:t>657</w:t>
      </w:r>
      <w:r w:rsidRPr="004C381B">
        <w:rPr>
          <w:rStyle w:val="fontstyle21"/>
        </w:rPr>
        <w:t>亿元港币。按照上市标准分，香港股票市场分为主板和创业板两个板块，不论从上司公司数量、总市值，</w:t>
      </w:r>
      <w:r w:rsidRPr="004C381B">
        <w:rPr>
          <w:rStyle w:val="fontstyle21"/>
        </w:rPr>
        <w:t xml:space="preserve"> </w:t>
      </w:r>
      <w:r w:rsidRPr="004C381B">
        <w:rPr>
          <w:rStyle w:val="fontstyle21"/>
        </w:rPr>
        <w:t>还是从日均交易额来看，主板均处于主导地位。按</w:t>
      </w:r>
      <w:r w:rsidRPr="004C381B">
        <w:rPr>
          <w:rStyle w:val="fontstyle21"/>
        </w:rPr>
        <w:t>2016</w:t>
      </w:r>
      <w:r w:rsidRPr="004C381B">
        <w:rPr>
          <w:rStyle w:val="fontstyle21"/>
        </w:rPr>
        <w:t>年</w:t>
      </w:r>
      <w:r w:rsidRPr="004C381B">
        <w:rPr>
          <w:rStyle w:val="fontstyle21"/>
        </w:rPr>
        <w:t>6</w:t>
      </w:r>
      <w:r w:rsidRPr="004C381B">
        <w:rPr>
          <w:rStyle w:val="fontstyle21"/>
        </w:rPr>
        <w:t>月底数据，香港主板的平均市盈率约</w:t>
      </w:r>
      <w:r w:rsidRPr="004C381B">
        <w:rPr>
          <w:rStyle w:val="fontstyle21"/>
        </w:rPr>
        <w:t>10</w:t>
      </w:r>
      <w:r w:rsidRPr="004C381B">
        <w:rPr>
          <w:rStyle w:val="fontstyle21"/>
        </w:rPr>
        <w:t>倍，</w:t>
      </w:r>
      <w:r w:rsidRPr="004C381B">
        <w:rPr>
          <w:rStyle w:val="fontstyle21"/>
        </w:rPr>
        <w:t xml:space="preserve"> 2015</w:t>
      </w:r>
      <w:r w:rsidRPr="004C381B">
        <w:rPr>
          <w:rStyle w:val="fontstyle21"/>
        </w:rPr>
        <w:t>年主板整体市场的股息收益率约为</w:t>
      </w:r>
      <w:r w:rsidRPr="004C381B">
        <w:rPr>
          <w:rStyle w:val="fontstyle21"/>
        </w:rPr>
        <w:t>3.7%</w:t>
      </w:r>
      <w:r w:rsidRPr="004C381B">
        <w:rPr>
          <w:rStyle w:val="fontstyle21"/>
        </w:rPr>
        <w:t>，主板上市公司中，消费、金融类上市公司数量占比为</w:t>
      </w:r>
      <w:r w:rsidRPr="004C381B">
        <w:rPr>
          <w:rStyle w:val="fontstyle21"/>
        </w:rPr>
        <w:t>46%</w:t>
      </w:r>
      <w:r w:rsidRPr="004C381B">
        <w:rPr>
          <w:rStyle w:val="fontstyle21"/>
        </w:rPr>
        <w:t>，市值占比</w:t>
      </w:r>
      <w:r w:rsidRPr="004C381B">
        <w:rPr>
          <w:rStyle w:val="fontstyle21"/>
        </w:rPr>
        <w:t>45%</w:t>
      </w:r>
      <w:r w:rsidRPr="004C381B">
        <w:rPr>
          <w:rStyle w:val="fontstyle21"/>
        </w:rPr>
        <w:t>。</w:t>
      </w:r>
    </w:p>
    <w:p w:rsidR="001540FB" w:rsidRPr="004C381B" w:rsidRDefault="001540FB">
      <w:pPr>
        <w:rPr>
          <w:rStyle w:val="fontstyle21"/>
          <w:rFonts w:hint="eastAsia"/>
        </w:rPr>
      </w:pPr>
    </w:p>
    <w:p w:rsidR="001540FB" w:rsidRPr="004C381B" w:rsidRDefault="001540FB">
      <w:pPr>
        <w:rPr>
          <w:rStyle w:val="fontstyle21"/>
          <w:rFonts w:hint="eastAsia"/>
        </w:rPr>
      </w:pPr>
      <w:r w:rsidRPr="004C381B">
        <w:rPr>
          <w:rStyle w:val="fontstyle21"/>
          <w:rFonts w:hint="eastAsia"/>
        </w:rPr>
        <w:t xml:space="preserve">8 </w:t>
      </w:r>
      <w:r w:rsidRPr="004C381B">
        <w:rPr>
          <w:rStyle w:val="fontstyle21"/>
        </w:rPr>
        <w:t>港股通标的公司有何特点？</w:t>
      </w:r>
    </w:p>
    <w:p w:rsidR="001540FB" w:rsidRPr="004C381B" w:rsidRDefault="001540FB">
      <w:pPr>
        <w:rPr>
          <w:rStyle w:val="fontstyle21"/>
          <w:rFonts w:hint="eastAsia"/>
        </w:rPr>
      </w:pPr>
      <w:r w:rsidRPr="004C381B">
        <w:rPr>
          <w:rStyle w:val="fontstyle21"/>
        </w:rPr>
        <w:t>按照</w:t>
      </w:r>
      <w:r w:rsidRPr="004C381B">
        <w:rPr>
          <w:rStyle w:val="fontstyle21"/>
        </w:rPr>
        <w:t>2016</w:t>
      </w:r>
      <w:r w:rsidRPr="004C381B">
        <w:rPr>
          <w:rStyle w:val="fontstyle21"/>
        </w:rPr>
        <w:t>年</w:t>
      </w:r>
      <w:r w:rsidRPr="004C381B">
        <w:rPr>
          <w:rStyle w:val="fontstyle21"/>
        </w:rPr>
        <w:t>8</w:t>
      </w:r>
      <w:r w:rsidRPr="004C381B">
        <w:rPr>
          <w:rStyle w:val="fontstyle21"/>
        </w:rPr>
        <w:t>月</w:t>
      </w:r>
      <w:r w:rsidRPr="004C381B">
        <w:rPr>
          <w:rStyle w:val="fontstyle21"/>
        </w:rPr>
        <w:t>16</w:t>
      </w:r>
      <w:r w:rsidRPr="004C381B">
        <w:rPr>
          <w:rStyle w:val="fontstyle21"/>
        </w:rPr>
        <w:t>日的《联合公告》，港股通标的约涵盖</w:t>
      </w:r>
      <w:r w:rsidRPr="004C381B">
        <w:rPr>
          <w:rStyle w:val="fontstyle21"/>
        </w:rPr>
        <w:t>417</w:t>
      </w:r>
      <w:r w:rsidRPr="004C381B">
        <w:rPr>
          <w:rStyle w:val="fontstyle21"/>
        </w:rPr>
        <w:t>只合资格股票</w:t>
      </w:r>
      <w:r w:rsidRPr="004C381B">
        <w:rPr>
          <w:rStyle w:val="fontstyle21"/>
        </w:rPr>
        <w:t>(</w:t>
      </w:r>
      <w:r w:rsidRPr="004C381B">
        <w:rPr>
          <w:rStyle w:val="fontstyle21"/>
        </w:rPr>
        <w:t>对比现有沪港通下的港股通为</w:t>
      </w:r>
      <w:r w:rsidRPr="004C381B">
        <w:rPr>
          <w:rStyle w:val="fontstyle21"/>
        </w:rPr>
        <w:t>318</w:t>
      </w:r>
      <w:r w:rsidRPr="004C381B">
        <w:rPr>
          <w:rStyle w:val="fontstyle21"/>
        </w:rPr>
        <w:t>只股票</w:t>
      </w:r>
      <w:r w:rsidRPr="004C381B">
        <w:rPr>
          <w:rStyle w:val="fontstyle21"/>
        </w:rPr>
        <w:t>)</w:t>
      </w:r>
      <w:r w:rsidRPr="004C381B">
        <w:rPr>
          <w:rStyle w:val="fontstyle21"/>
        </w:rPr>
        <w:t>，新增</w:t>
      </w:r>
      <w:r w:rsidRPr="004C381B">
        <w:rPr>
          <w:rStyle w:val="fontstyle21"/>
        </w:rPr>
        <w:t>“</w:t>
      </w:r>
      <w:r w:rsidRPr="004C381B">
        <w:rPr>
          <w:rStyle w:val="fontstyle21"/>
        </w:rPr>
        <w:t>市值</w:t>
      </w:r>
      <w:r w:rsidRPr="004C381B">
        <w:rPr>
          <w:rStyle w:val="fontstyle21"/>
        </w:rPr>
        <w:t>50</w:t>
      </w:r>
      <w:r w:rsidRPr="004C381B">
        <w:rPr>
          <w:rStyle w:val="fontstyle21"/>
        </w:rPr>
        <w:t>亿元港币及以上的恒生综合小型股指数的成份股</w:t>
      </w:r>
      <w:r w:rsidRPr="004C381B">
        <w:rPr>
          <w:rStyle w:val="fontstyle21"/>
        </w:rPr>
        <w:t>”</w:t>
      </w:r>
      <w:r w:rsidRPr="004C381B">
        <w:rPr>
          <w:rStyle w:val="fontstyle21"/>
        </w:rPr>
        <w:t>及</w:t>
      </w:r>
      <w:r w:rsidRPr="004C381B">
        <w:rPr>
          <w:rStyle w:val="fontstyle21"/>
        </w:rPr>
        <w:t>“</w:t>
      </w:r>
      <w:r w:rsidRPr="004C381B">
        <w:rPr>
          <w:rStyle w:val="fontstyle21"/>
        </w:rPr>
        <w:t>同时于深圳和香港上市的</w:t>
      </w:r>
      <w:r w:rsidRPr="004C381B">
        <w:rPr>
          <w:rStyle w:val="fontstyle21"/>
        </w:rPr>
        <w:t>A+H</w:t>
      </w:r>
      <w:r w:rsidRPr="004C381B">
        <w:rPr>
          <w:rStyle w:val="fontstyle21"/>
        </w:rPr>
        <w:t>股</w:t>
      </w:r>
      <w:r w:rsidRPr="004C381B">
        <w:rPr>
          <w:rStyle w:val="fontstyle21"/>
        </w:rPr>
        <w:t>”</w:t>
      </w:r>
      <w:r w:rsidRPr="004C381B">
        <w:rPr>
          <w:rStyle w:val="fontstyle21"/>
        </w:rPr>
        <w:t>。合资格恒生综合小型股指数的成份股约</w:t>
      </w:r>
      <w:r w:rsidRPr="004C381B">
        <w:rPr>
          <w:rStyle w:val="fontstyle21"/>
        </w:rPr>
        <w:t>105</w:t>
      </w:r>
      <w:r w:rsidRPr="004C381B">
        <w:rPr>
          <w:rStyle w:val="fontstyle21"/>
        </w:rPr>
        <w:t>只，按照全球行业分类系统（</w:t>
      </w:r>
      <w:r w:rsidRPr="004C381B">
        <w:rPr>
          <w:rStyle w:val="fontstyle21"/>
        </w:rPr>
        <w:t>GICS</w:t>
      </w:r>
      <w:r w:rsidRPr="004C381B">
        <w:rPr>
          <w:rStyle w:val="fontstyle21"/>
        </w:rPr>
        <w:t>）的行业分类，分布在</w:t>
      </w:r>
      <w:r w:rsidRPr="004C381B">
        <w:rPr>
          <w:rStyle w:val="fontstyle21"/>
        </w:rPr>
        <w:t>35</w:t>
      </w:r>
      <w:r w:rsidRPr="004C381B">
        <w:rPr>
          <w:rStyle w:val="fontstyle21"/>
        </w:rPr>
        <w:t>个行业中，分布较为分散，截至</w:t>
      </w:r>
      <w:r w:rsidRPr="004C381B">
        <w:rPr>
          <w:rStyle w:val="fontstyle21"/>
        </w:rPr>
        <w:t>2016</w:t>
      </w:r>
      <w:r w:rsidRPr="004C381B">
        <w:rPr>
          <w:rStyle w:val="fontstyle21"/>
        </w:rPr>
        <w:t>年</w:t>
      </w:r>
      <w:r w:rsidRPr="004C381B">
        <w:rPr>
          <w:rStyle w:val="fontstyle21"/>
        </w:rPr>
        <w:t>6</w:t>
      </w:r>
      <w:r w:rsidRPr="004C381B">
        <w:rPr>
          <w:rStyle w:val="fontstyle21"/>
        </w:rPr>
        <w:t>月</w:t>
      </w:r>
      <w:r w:rsidRPr="004C381B">
        <w:rPr>
          <w:rStyle w:val="fontstyle21"/>
        </w:rPr>
        <w:t>30</w:t>
      </w:r>
      <w:r w:rsidRPr="004C381B">
        <w:rPr>
          <w:rStyle w:val="fontstyle21"/>
        </w:rPr>
        <w:t>日收盘平均市值约</w:t>
      </w:r>
      <w:r w:rsidRPr="004C381B">
        <w:rPr>
          <w:rStyle w:val="fontstyle21"/>
        </w:rPr>
        <w:t>89</w:t>
      </w:r>
      <w:r w:rsidRPr="004C381B">
        <w:rPr>
          <w:rStyle w:val="fontstyle21"/>
        </w:rPr>
        <w:t>亿元港币，平均市盈率</w:t>
      </w:r>
      <w:r w:rsidRPr="004C381B">
        <w:rPr>
          <w:rStyle w:val="fontstyle21"/>
        </w:rPr>
        <w:t>19.5</w:t>
      </w:r>
      <w:r w:rsidRPr="004C381B">
        <w:rPr>
          <w:rStyle w:val="fontstyle21"/>
        </w:rPr>
        <w:t>倍（剔除盈利预测为负的股票）平平均股息收益率</w:t>
      </w:r>
      <w:r w:rsidRPr="004C381B">
        <w:rPr>
          <w:rStyle w:val="fontstyle21"/>
        </w:rPr>
        <w:t>2.69%</w:t>
      </w:r>
      <w:r w:rsidRPr="004C381B">
        <w:rPr>
          <w:rStyle w:val="fontstyle21"/>
        </w:rPr>
        <w:t>。</w:t>
      </w:r>
    </w:p>
    <w:p w:rsidR="001540FB" w:rsidRPr="004C381B" w:rsidRDefault="001540FB">
      <w:pPr>
        <w:rPr>
          <w:rStyle w:val="fontstyle21"/>
          <w:rFonts w:hint="eastAsia"/>
        </w:rPr>
      </w:pPr>
    </w:p>
    <w:p w:rsidR="001540FB" w:rsidRPr="004C381B" w:rsidRDefault="001540FB">
      <w:pPr>
        <w:rPr>
          <w:rStyle w:val="fontstyle21"/>
          <w:rFonts w:hint="eastAsia"/>
        </w:rPr>
      </w:pPr>
      <w:r w:rsidRPr="004C381B">
        <w:rPr>
          <w:rStyle w:val="fontstyle21"/>
          <w:rFonts w:hint="eastAsia"/>
        </w:rPr>
        <w:t>9</w:t>
      </w:r>
      <w:r w:rsidRPr="004C381B">
        <w:rPr>
          <w:rStyle w:val="fontstyle21"/>
        </w:rPr>
        <w:t>香港市场具有哪些主要特征？</w:t>
      </w:r>
    </w:p>
    <w:p w:rsidR="001540FB" w:rsidRPr="004C381B" w:rsidRDefault="001540FB">
      <w:pPr>
        <w:rPr>
          <w:rStyle w:val="fontstyle21"/>
          <w:rFonts w:hint="eastAsia"/>
        </w:rPr>
      </w:pPr>
      <w:r w:rsidRPr="004C381B">
        <w:rPr>
          <w:rStyle w:val="fontstyle21"/>
        </w:rPr>
        <w:t>香港股票市场分为主板和创业板两个层次，</w:t>
      </w:r>
      <w:r w:rsidRPr="004C381B">
        <w:rPr>
          <w:rStyle w:val="fontstyle21"/>
        </w:rPr>
        <w:t xml:space="preserve"> 2014</w:t>
      </w:r>
      <w:r w:rsidRPr="004C381B">
        <w:rPr>
          <w:rStyle w:val="fontstyle21"/>
        </w:rPr>
        <w:t>及</w:t>
      </w:r>
      <w:r w:rsidRPr="004C381B">
        <w:rPr>
          <w:rStyle w:val="fontstyle21"/>
        </w:rPr>
        <w:t>2015</w:t>
      </w:r>
      <w:r w:rsidRPr="004C381B">
        <w:rPr>
          <w:rStyle w:val="fontstyle21"/>
        </w:rPr>
        <w:t>年度，其中主板居于主导地位，主板中，金融行业的市值占比高达</w:t>
      </w:r>
      <w:r w:rsidRPr="004C381B">
        <w:rPr>
          <w:rStyle w:val="fontstyle21"/>
        </w:rPr>
        <w:t>28%</w:t>
      </w:r>
      <w:r w:rsidRPr="004C381B">
        <w:rPr>
          <w:rStyle w:val="fontstyle21"/>
        </w:rPr>
        <w:t>，为市值占比最高的行业，消费类公司数量约</w:t>
      </w:r>
      <w:r w:rsidRPr="004C381B">
        <w:rPr>
          <w:rStyle w:val="fontstyle21"/>
        </w:rPr>
        <w:t>36%</w:t>
      </w:r>
      <w:r w:rsidRPr="004C381B">
        <w:rPr>
          <w:rStyle w:val="fontstyle21"/>
        </w:rPr>
        <w:t>，为数量最多的行业。油气服务、金融业特色公司（如交易所、</w:t>
      </w:r>
      <w:r w:rsidRPr="004C381B">
        <w:rPr>
          <w:rStyle w:val="fontstyle21"/>
        </w:rPr>
        <w:t xml:space="preserve"> </w:t>
      </w:r>
      <w:r w:rsidRPr="004C381B">
        <w:rPr>
          <w:rStyle w:val="fontstyle21"/>
        </w:rPr>
        <w:t>资产管理公司等）、可选消费（如电影与娱乐、专卖店、博彩、餐饮等）、电信和科技（电信公司、互联网与软件）等行业也占比较大。</w:t>
      </w:r>
      <w:r w:rsidRPr="004C381B">
        <w:rPr>
          <w:rStyle w:val="fontstyle21"/>
        </w:rPr>
        <w:br/>
      </w:r>
      <w:r w:rsidRPr="004C381B">
        <w:rPr>
          <w:rStyle w:val="fontstyle21"/>
        </w:rPr>
        <w:t>香港证券市场的投资者结构十分均衡。大约</w:t>
      </w:r>
      <w:r w:rsidRPr="004C381B">
        <w:rPr>
          <w:rStyle w:val="fontstyle21"/>
        </w:rPr>
        <w:t>50%</w:t>
      </w:r>
      <w:r w:rsidRPr="004C381B">
        <w:rPr>
          <w:rStyle w:val="fontstyle21"/>
        </w:rPr>
        <w:t>的成交额来自机构投资者，当中来自海外的机构投资者成交占逾一半，另一半来自香港与中国内地的机构投资者。香港证券市场有</w:t>
      </w:r>
      <w:r w:rsidRPr="004C381B">
        <w:rPr>
          <w:rStyle w:val="fontstyle21"/>
        </w:rPr>
        <w:t>30%</w:t>
      </w:r>
      <w:r w:rsidRPr="004C381B">
        <w:rPr>
          <w:rStyle w:val="fontstyle21"/>
        </w:rPr>
        <w:t>的成交额来自个人投资者，其中三分之二来自香港，另有</w:t>
      </w:r>
      <w:r w:rsidRPr="004C381B">
        <w:rPr>
          <w:rStyle w:val="fontstyle21"/>
        </w:rPr>
        <w:t>20%</w:t>
      </w:r>
      <w:r w:rsidRPr="004C381B">
        <w:rPr>
          <w:rStyle w:val="fontstyle21"/>
        </w:rPr>
        <w:t>的成交额来自本地经纪的自营交易（来源：</w:t>
      </w:r>
      <w:r w:rsidRPr="004C381B">
        <w:rPr>
          <w:rStyle w:val="fontstyle21"/>
        </w:rPr>
        <w:t xml:space="preserve"> 2014/2015</w:t>
      </w:r>
      <w:r w:rsidRPr="004C381B">
        <w:rPr>
          <w:rStyle w:val="fontstyle21"/>
        </w:rPr>
        <w:t>现货市场交易研究调</w:t>
      </w:r>
      <w:r w:rsidRPr="004C381B">
        <w:rPr>
          <w:rStyle w:val="fontstyle21"/>
        </w:rPr>
        <w:lastRenderedPageBreak/>
        <w:t>查）。</w:t>
      </w:r>
    </w:p>
    <w:p w:rsidR="001540FB" w:rsidRPr="004C381B" w:rsidRDefault="001540FB">
      <w:pPr>
        <w:rPr>
          <w:rStyle w:val="fontstyle21"/>
          <w:rFonts w:hint="eastAsia"/>
        </w:rPr>
      </w:pPr>
    </w:p>
    <w:p w:rsidR="001540FB" w:rsidRPr="004C381B" w:rsidRDefault="001540FB">
      <w:pPr>
        <w:rPr>
          <w:rStyle w:val="fontstyle21"/>
          <w:rFonts w:hint="eastAsia"/>
        </w:rPr>
      </w:pPr>
      <w:r w:rsidRPr="004C381B">
        <w:rPr>
          <w:rStyle w:val="fontstyle21"/>
          <w:rFonts w:hint="eastAsia"/>
        </w:rPr>
        <w:t xml:space="preserve">10 </w:t>
      </w:r>
      <w:r w:rsidRPr="004C381B">
        <w:rPr>
          <w:rStyle w:val="fontstyle21"/>
        </w:rPr>
        <w:t>香港市场对投资者有哪些吸引力？</w:t>
      </w:r>
    </w:p>
    <w:p w:rsidR="001540FB" w:rsidRPr="004C381B" w:rsidRDefault="001540FB">
      <w:pPr>
        <w:rPr>
          <w:rStyle w:val="fontstyle21"/>
          <w:rFonts w:hint="eastAsia"/>
        </w:rPr>
      </w:pPr>
      <w:r w:rsidRPr="004C381B">
        <w:rPr>
          <w:rStyle w:val="fontstyle21"/>
        </w:rPr>
        <w:t>一般来说，香港市场整体估值水平较低，截至</w:t>
      </w:r>
      <w:r w:rsidRPr="004C381B">
        <w:rPr>
          <w:rStyle w:val="fontstyle21"/>
        </w:rPr>
        <w:t>2016</w:t>
      </w:r>
      <w:r w:rsidRPr="004C381B">
        <w:rPr>
          <w:rStyle w:val="fontstyle21"/>
        </w:rPr>
        <w:t>年</w:t>
      </w:r>
      <w:r w:rsidRPr="004C381B">
        <w:rPr>
          <w:rStyle w:val="fontstyle21"/>
        </w:rPr>
        <w:t>6</w:t>
      </w:r>
      <w:r w:rsidRPr="004C381B">
        <w:rPr>
          <w:rStyle w:val="fontstyle21"/>
        </w:rPr>
        <w:t>月，香港主板公司平均市盈率约为</w:t>
      </w:r>
      <w:r w:rsidRPr="004C381B">
        <w:rPr>
          <w:rStyle w:val="fontstyle21"/>
        </w:rPr>
        <w:t>10</w:t>
      </w:r>
      <w:r w:rsidRPr="004C381B">
        <w:rPr>
          <w:rStyle w:val="fontstyle21"/>
        </w:rPr>
        <w:t>倍，和全球其他主要市场相比，处于估值洼地。纵向比较而言，恒生指数的市盈率和市净率水平均处在历史低位区域。香港上市公司具有高分红的传统，派息率及股息收益率较高；</w:t>
      </w:r>
      <w:r w:rsidRPr="004C381B">
        <w:rPr>
          <w:rStyle w:val="fontstyle21"/>
        </w:rPr>
        <w:t xml:space="preserve"> 2015</w:t>
      </w:r>
      <w:r w:rsidRPr="004C381B">
        <w:rPr>
          <w:rStyle w:val="fontstyle21"/>
        </w:rPr>
        <w:t>年主板整体市场的股息收益率约为</w:t>
      </w:r>
      <w:r w:rsidRPr="004C381B">
        <w:rPr>
          <w:rStyle w:val="fontstyle21"/>
        </w:rPr>
        <w:t>3.7%</w:t>
      </w:r>
      <w:r w:rsidRPr="004C381B">
        <w:rPr>
          <w:rStyle w:val="fontstyle21"/>
        </w:rPr>
        <w:t>，恒生指数的</w:t>
      </w:r>
      <w:r w:rsidRPr="004C381B">
        <w:rPr>
          <w:rStyle w:val="fontstyle21"/>
        </w:rPr>
        <w:t>10</w:t>
      </w:r>
      <w:r w:rsidRPr="004C381B">
        <w:rPr>
          <w:rStyle w:val="fontstyle21"/>
        </w:rPr>
        <w:t>年平均派息率达到</w:t>
      </w:r>
      <w:r w:rsidRPr="004C381B">
        <w:rPr>
          <w:rStyle w:val="fontstyle21"/>
        </w:rPr>
        <w:t>35%</w:t>
      </w:r>
      <w:r w:rsidRPr="004C381B">
        <w:rPr>
          <w:rStyle w:val="fontstyle21"/>
        </w:rPr>
        <w:t>。香港上市公司来源于全球</w:t>
      </w:r>
      <w:r w:rsidRPr="004C381B">
        <w:rPr>
          <w:rStyle w:val="fontstyle21"/>
        </w:rPr>
        <w:t>26</w:t>
      </w:r>
      <w:r w:rsidRPr="004C381B">
        <w:rPr>
          <w:rStyle w:val="fontstyle21"/>
        </w:rPr>
        <w:t>个不同的国家和地区，其中不乏全球知名的优秀企业。投资者参与港股通投资，可以有效地进行多元化资产配置和管理。港股通参与方式方便快捷，投资者可以直接使用深港通下的港股通账户进行交易，而无须去香港开户，简捷高效。港股通投资者直接以人民币与证券公司进行交收，避免人民币出入境的不便，且不受每人每年</w:t>
      </w:r>
      <w:r w:rsidRPr="004C381B">
        <w:rPr>
          <w:rStyle w:val="fontstyle21"/>
        </w:rPr>
        <w:t>5</w:t>
      </w:r>
      <w:r w:rsidRPr="004C381B">
        <w:rPr>
          <w:rStyle w:val="fontstyle21"/>
        </w:rPr>
        <w:t>万美金的结汇、换汇额度限制。</w:t>
      </w:r>
    </w:p>
    <w:p w:rsidR="004C381B" w:rsidRPr="004C381B" w:rsidRDefault="004C381B">
      <w:pPr>
        <w:rPr>
          <w:rStyle w:val="fontstyle21"/>
          <w:rFonts w:hint="eastAsia"/>
        </w:rPr>
      </w:pPr>
    </w:p>
    <w:p w:rsidR="004C381B" w:rsidRPr="004C381B" w:rsidRDefault="004C381B">
      <w:pPr>
        <w:rPr>
          <w:rStyle w:val="fontstyle21"/>
          <w:rFonts w:hint="eastAsia"/>
        </w:rPr>
      </w:pPr>
      <w:r w:rsidRPr="004C381B">
        <w:rPr>
          <w:rStyle w:val="fontstyle21"/>
          <w:rFonts w:hint="eastAsia"/>
        </w:rPr>
        <w:t xml:space="preserve">11 </w:t>
      </w:r>
      <w:r w:rsidRPr="004C381B">
        <w:rPr>
          <w:rStyle w:val="fontstyle21"/>
        </w:rPr>
        <w:t>港股通股票的交易时间是如何规定的？</w:t>
      </w:r>
    </w:p>
    <w:p w:rsidR="004C381B" w:rsidRPr="004C381B" w:rsidRDefault="004C381B">
      <w:pPr>
        <w:rPr>
          <w:rStyle w:val="fontstyle21"/>
        </w:rPr>
      </w:pPr>
      <w:r w:rsidRPr="004C381B">
        <w:rPr>
          <w:rStyle w:val="fontstyle21"/>
        </w:rPr>
        <w:t>投资者买卖港股通股票的交易时间应遵守联交所规定，即交易日的</w:t>
      </w:r>
      <w:r w:rsidRPr="004C381B">
        <w:rPr>
          <w:rStyle w:val="fontstyle21"/>
        </w:rPr>
        <w:t>9:00</w:t>
      </w:r>
      <w:r w:rsidRPr="004C381B">
        <w:rPr>
          <w:rStyle w:val="fontstyle21"/>
        </w:rPr>
        <w:t>至</w:t>
      </w:r>
      <w:r w:rsidRPr="004C381B">
        <w:rPr>
          <w:rStyle w:val="fontstyle21"/>
        </w:rPr>
        <w:t>9:30</w:t>
      </w:r>
      <w:r w:rsidRPr="004C381B">
        <w:rPr>
          <w:rStyle w:val="fontstyle21"/>
        </w:rPr>
        <w:t>为开市前时段（集合竞价），其中</w:t>
      </w:r>
      <w:r w:rsidRPr="004C381B">
        <w:rPr>
          <w:rStyle w:val="fontstyle21"/>
        </w:rPr>
        <w:t>9:00</w:t>
      </w:r>
      <w:r w:rsidRPr="004C381B">
        <w:rPr>
          <w:rStyle w:val="fontstyle21"/>
        </w:rPr>
        <w:t>至</w:t>
      </w:r>
      <w:r w:rsidRPr="004C381B">
        <w:rPr>
          <w:rStyle w:val="fontstyle21"/>
        </w:rPr>
        <w:t>9:15</w:t>
      </w:r>
      <w:r w:rsidRPr="004C381B">
        <w:rPr>
          <w:rStyle w:val="fontstyle21"/>
        </w:rPr>
        <w:t>接受竞价限价盘申报；</w:t>
      </w:r>
      <w:r w:rsidRPr="004C381B">
        <w:rPr>
          <w:rStyle w:val="fontstyle21"/>
        </w:rPr>
        <w:t xml:space="preserve"> 9:30</w:t>
      </w:r>
      <w:r w:rsidRPr="004C381B">
        <w:rPr>
          <w:rStyle w:val="fontstyle21"/>
        </w:rPr>
        <w:t>至</w:t>
      </w:r>
      <w:r w:rsidRPr="004C381B">
        <w:rPr>
          <w:rStyle w:val="fontstyle21"/>
        </w:rPr>
        <w:t>12:00</w:t>
      </w:r>
      <w:r w:rsidRPr="004C381B">
        <w:rPr>
          <w:rStyle w:val="fontstyle21"/>
        </w:rPr>
        <w:t>及</w:t>
      </w:r>
      <w:r w:rsidRPr="004C381B">
        <w:rPr>
          <w:rStyle w:val="fontstyle21"/>
        </w:rPr>
        <w:t>13:00</w:t>
      </w:r>
      <w:r w:rsidRPr="004C381B">
        <w:rPr>
          <w:rStyle w:val="fontstyle21"/>
        </w:rPr>
        <w:t>至</w:t>
      </w:r>
      <w:r w:rsidRPr="004C381B">
        <w:rPr>
          <w:rStyle w:val="fontstyle21"/>
        </w:rPr>
        <w:t>16:00</w:t>
      </w:r>
      <w:r w:rsidRPr="004C381B">
        <w:rPr>
          <w:rStyle w:val="fontstyle21"/>
        </w:rPr>
        <w:t>为持续交易时段（连续竞价），</w:t>
      </w:r>
      <w:r w:rsidRPr="004C381B">
        <w:rPr>
          <w:rStyle w:val="fontstyle21"/>
        </w:rPr>
        <w:t xml:space="preserve"> </w:t>
      </w:r>
      <w:r w:rsidRPr="004C381B">
        <w:rPr>
          <w:rStyle w:val="fontstyle21"/>
        </w:rPr>
        <w:t>接受增强限价盘申报；</w:t>
      </w:r>
      <w:r w:rsidRPr="004C381B">
        <w:rPr>
          <w:rStyle w:val="fontstyle21"/>
        </w:rPr>
        <w:t xml:space="preserve"> 16:00-16:10</w:t>
      </w:r>
      <w:r w:rsidRPr="004C381B">
        <w:rPr>
          <w:rStyle w:val="fontstyle21"/>
        </w:rPr>
        <w:t>为收市竞价交易时段（于</w:t>
      </w:r>
      <w:r w:rsidRPr="004C381B">
        <w:rPr>
          <w:rStyle w:val="fontstyle21"/>
        </w:rPr>
        <w:t>16:08-16:10</w:t>
      </w:r>
      <w:r w:rsidRPr="004C381B">
        <w:rPr>
          <w:rStyle w:val="fontstyle21"/>
        </w:rPr>
        <w:t>之间随机收市），</w:t>
      </w:r>
      <w:r w:rsidRPr="004C381B">
        <w:rPr>
          <w:rStyle w:val="fontstyle21"/>
        </w:rPr>
        <w:t xml:space="preserve"> 16:01</w:t>
      </w:r>
      <w:r w:rsidRPr="004C381B">
        <w:rPr>
          <w:rStyle w:val="fontstyle21"/>
        </w:rPr>
        <w:t>开始接受竞价限价盘申报。撤单时间为</w:t>
      </w:r>
      <w:r w:rsidRPr="004C381B">
        <w:rPr>
          <w:rStyle w:val="fontstyle21"/>
        </w:rPr>
        <w:t>9:00-9:15</w:t>
      </w:r>
      <w:r w:rsidRPr="004C381B">
        <w:rPr>
          <w:rStyle w:val="fontstyle21"/>
        </w:rPr>
        <w:t>；</w:t>
      </w:r>
      <w:r w:rsidRPr="004C381B">
        <w:rPr>
          <w:rStyle w:val="fontstyle21"/>
        </w:rPr>
        <w:t xml:space="preserve"> 9:30-12:00</w:t>
      </w:r>
      <w:r w:rsidRPr="004C381B">
        <w:rPr>
          <w:rStyle w:val="fontstyle21"/>
        </w:rPr>
        <w:t>；</w:t>
      </w:r>
      <w:r w:rsidRPr="004C381B">
        <w:rPr>
          <w:rStyle w:val="fontstyle21"/>
        </w:rPr>
        <w:t xml:space="preserve"> 12:30-16:00</w:t>
      </w:r>
      <w:r w:rsidRPr="004C381B">
        <w:rPr>
          <w:rStyle w:val="fontstyle21"/>
        </w:rPr>
        <w:t>；</w:t>
      </w:r>
      <w:r w:rsidRPr="004C381B">
        <w:rPr>
          <w:rStyle w:val="fontstyle21"/>
        </w:rPr>
        <w:t xml:space="preserve"> 16:01-16:06</w:t>
      </w:r>
      <w:r>
        <w:rPr>
          <w:rFonts w:ascii="FZHTJW--GB1-0" w:hAnsi="FZHTJW--GB1-0"/>
          <w:noProof/>
          <w:color w:val="221815"/>
          <w:sz w:val="24"/>
          <w:szCs w:val="24"/>
        </w:rPr>
        <w:drawing>
          <wp:inline distT="0" distB="0" distL="0" distR="0">
            <wp:extent cx="4457700" cy="4667250"/>
            <wp:effectExtent l="19050" t="0" r="0" b="0"/>
            <wp:docPr id="2" name="图片 2" descr="C:\Users\hp\AppData\Local\Temp\E76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E769.tmp.png"/>
                    <pic:cNvPicPr>
                      <a:picLocks noChangeAspect="1" noChangeArrowheads="1"/>
                    </pic:cNvPicPr>
                  </pic:nvPicPr>
                  <pic:blipFill>
                    <a:blip r:embed="rId6"/>
                    <a:srcRect/>
                    <a:stretch>
                      <a:fillRect/>
                    </a:stretch>
                  </pic:blipFill>
                  <pic:spPr bwMode="auto">
                    <a:xfrm>
                      <a:off x="0" y="0"/>
                      <a:ext cx="4457700" cy="4667250"/>
                    </a:xfrm>
                    <a:prstGeom prst="rect">
                      <a:avLst/>
                    </a:prstGeom>
                    <a:noFill/>
                    <a:ln w="9525">
                      <a:noFill/>
                      <a:miter lim="800000"/>
                      <a:headEnd/>
                      <a:tailEnd/>
                    </a:ln>
                  </pic:spPr>
                </pic:pic>
              </a:graphicData>
            </a:graphic>
          </wp:inline>
        </w:drawing>
      </w:r>
    </w:p>
    <w:sectPr w:rsidR="004C381B" w:rsidRPr="004C3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A4" w:rsidRDefault="00A664A4" w:rsidP="00432D87">
      <w:r>
        <w:separator/>
      </w:r>
    </w:p>
  </w:endnote>
  <w:endnote w:type="continuationSeparator" w:id="1">
    <w:p w:rsidR="00A664A4" w:rsidRDefault="00A664A4" w:rsidP="0043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illSansMT">
    <w:altName w:val="Times New Roman"/>
    <w:panose1 w:val="00000000000000000000"/>
    <w:charset w:val="00"/>
    <w:family w:val="roman"/>
    <w:notTrueType/>
    <w:pitch w:val="default"/>
    <w:sig w:usb0="00000000" w:usb1="00000000" w:usb2="00000000" w:usb3="00000000" w:csb0="00000000" w:csb1="00000000"/>
  </w:font>
  <w:font w:name="FZHTJW--GB1-0">
    <w:altName w:val="Times New Roman"/>
    <w:panose1 w:val="00000000000000000000"/>
    <w:charset w:val="00"/>
    <w:family w:val="roman"/>
    <w:notTrueType/>
    <w:pitch w:val="default"/>
    <w:sig w:usb0="00000000" w:usb1="00000000" w:usb2="00000000" w:usb3="00000000" w:csb0="00000000" w:csb1="00000000"/>
  </w:font>
  <w:font w:name="FZZDXJW--GB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A4" w:rsidRDefault="00A664A4" w:rsidP="00432D87">
      <w:r>
        <w:separator/>
      </w:r>
    </w:p>
  </w:footnote>
  <w:footnote w:type="continuationSeparator" w:id="1">
    <w:p w:rsidR="00A664A4" w:rsidRDefault="00A664A4" w:rsidP="0043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D87"/>
    <w:rsid w:val="001540FB"/>
    <w:rsid w:val="00432D87"/>
    <w:rsid w:val="004C381B"/>
    <w:rsid w:val="00A664A4"/>
    <w:rsid w:val="00C25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2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2D87"/>
    <w:rPr>
      <w:sz w:val="18"/>
      <w:szCs w:val="18"/>
    </w:rPr>
  </w:style>
  <w:style w:type="paragraph" w:styleId="a4">
    <w:name w:val="footer"/>
    <w:basedOn w:val="a"/>
    <w:link w:val="Char0"/>
    <w:uiPriority w:val="99"/>
    <w:semiHidden/>
    <w:unhideWhenUsed/>
    <w:rsid w:val="00432D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2D87"/>
    <w:rPr>
      <w:sz w:val="18"/>
      <w:szCs w:val="18"/>
    </w:rPr>
  </w:style>
  <w:style w:type="character" w:customStyle="1" w:styleId="fontstyle01">
    <w:name w:val="fontstyle01"/>
    <w:basedOn w:val="a0"/>
    <w:rsid w:val="00432D87"/>
    <w:rPr>
      <w:rFonts w:ascii="GillSansMT" w:hAnsi="GillSansMT" w:hint="default"/>
      <w:b w:val="0"/>
      <w:bCs w:val="0"/>
      <w:i w:val="0"/>
      <w:iCs w:val="0"/>
      <w:color w:val="221815"/>
      <w:sz w:val="24"/>
      <w:szCs w:val="24"/>
    </w:rPr>
  </w:style>
  <w:style w:type="character" w:customStyle="1" w:styleId="fontstyle21">
    <w:name w:val="fontstyle21"/>
    <w:basedOn w:val="a0"/>
    <w:rsid w:val="00432D87"/>
    <w:rPr>
      <w:rFonts w:ascii="FZHTJW--GB1-0" w:hAnsi="FZHTJW--GB1-0" w:hint="default"/>
      <w:b w:val="0"/>
      <w:bCs w:val="0"/>
      <w:i w:val="0"/>
      <w:iCs w:val="0"/>
      <w:color w:val="221815"/>
      <w:sz w:val="24"/>
      <w:szCs w:val="24"/>
    </w:rPr>
  </w:style>
  <w:style w:type="character" w:customStyle="1" w:styleId="fontstyle11">
    <w:name w:val="fontstyle11"/>
    <w:basedOn w:val="a0"/>
    <w:rsid w:val="00432D87"/>
    <w:rPr>
      <w:rFonts w:ascii="GillSansMT" w:hAnsi="GillSansMT" w:hint="default"/>
      <w:b w:val="0"/>
      <w:bCs w:val="0"/>
      <w:i w:val="0"/>
      <w:iCs w:val="0"/>
      <w:color w:val="3B3C3C"/>
      <w:sz w:val="20"/>
      <w:szCs w:val="20"/>
    </w:rPr>
  </w:style>
  <w:style w:type="character" w:customStyle="1" w:styleId="fontstyle31">
    <w:name w:val="fontstyle31"/>
    <w:basedOn w:val="a0"/>
    <w:rsid w:val="00432D87"/>
    <w:rPr>
      <w:rFonts w:ascii="FZHTJW--GB1-0" w:hAnsi="FZHTJW--GB1-0" w:hint="default"/>
      <w:b w:val="0"/>
      <w:bCs w:val="0"/>
      <w:i w:val="0"/>
      <w:iCs w:val="0"/>
      <w:color w:val="3B3C3C"/>
      <w:sz w:val="20"/>
      <w:szCs w:val="20"/>
    </w:rPr>
  </w:style>
  <w:style w:type="paragraph" w:styleId="a5">
    <w:name w:val="Balloon Text"/>
    <w:basedOn w:val="a"/>
    <w:link w:val="Char1"/>
    <w:uiPriority w:val="99"/>
    <w:semiHidden/>
    <w:unhideWhenUsed/>
    <w:rsid w:val="004C381B"/>
    <w:rPr>
      <w:sz w:val="18"/>
      <w:szCs w:val="18"/>
    </w:rPr>
  </w:style>
  <w:style w:type="character" w:customStyle="1" w:styleId="Char1">
    <w:name w:val="批注框文本 Char"/>
    <w:basedOn w:val="a0"/>
    <w:link w:val="a5"/>
    <w:uiPriority w:val="99"/>
    <w:semiHidden/>
    <w:rsid w:val="004C38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4</cp:revision>
  <dcterms:created xsi:type="dcterms:W3CDTF">2016-10-31T03:44:00Z</dcterms:created>
  <dcterms:modified xsi:type="dcterms:W3CDTF">2016-10-31T06:16:00Z</dcterms:modified>
</cp:coreProperties>
</file>