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C38" w:rsidRDefault="008E5C38" w:rsidP="003541D5">
      <w:pPr>
        <w:pStyle w:val="a3"/>
        <w:shd w:val="clear" w:color="auto" w:fill="FFFFFF"/>
        <w:spacing w:before="0" w:beforeAutospacing="0" w:after="0" w:afterAutospacing="0" w:line="540" w:lineRule="atLeast"/>
        <w:jc w:val="center"/>
        <w:rPr>
          <w:rFonts w:ascii="微软雅黑" w:eastAsia="微软雅黑" w:hAnsi="微软雅黑"/>
          <w:color w:val="333333"/>
        </w:rPr>
      </w:pPr>
      <w:r>
        <w:rPr>
          <w:rStyle w:val="a4"/>
          <w:rFonts w:ascii="微软雅黑" w:eastAsia="微软雅黑" w:hAnsi="微软雅黑" w:hint="eastAsia"/>
          <w:color w:val="333333"/>
          <w:bdr w:val="none" w:sz="0" w:space="0" w:color="auto" w:frame="1"/>
        </w:rPr>
        <w:t>金融账户涉税信息自动交换标准简介</w:t>
      </w:r>
    </w:p>
    <w:p w:rsidR="008E5C38" w:rsidRDefault="008E5C38" w:rsidP="008E5C38">
      <w:pPr>
        <w:pStyle w:val="a3"/>
        <w:shd w:val="clear" w:color="auto" w:fill="FFFFFF"/>
        <w:spacing w:before="0" w:beforeAutospacing="0" w:after="240" w:afterAutospacing="0" w:line="540" w:lineRule="atLeast"/>
        <w:jc w:val="both"/>
        <w:rPr>
          <w:rFonts w:ascii="微软雅黑" w:eastAsia="微软雅黑" w:hAnsi="微软雅黑"/>
          <w:color w:val="333333"/>
        </w:rPr>
      </w:pPr>
      <w:r>
        <w:rPr>
          <w:rFonts w:ascii="微软雅黑" w:eastAsia="微软雅黑" w:hAnsi="微软雅黑" w:hint="eastAsia"/>
          <w:color w:val="333333"/>
        </w:rPr>
        <w:t xml:space="preserve">　　随着经济全球化进程的不断加快，纳税人通过境外金融机构持有和管理资产，并将收益隐匿在境外金融账户以逃避居民国纳税义务的现象日趋严重，各国对进一步加强国际税收信息交换、维护本国税收权益的意愿愈显迫切。</w:t>
      </w:r>
      <w:r>
        <w:rPr>
          <w:rFonts w:ascii="微软雅黑" w:eastAsia="微软雅黑" w:hAnsi="微软雅黑" w:hint="eastAsia"/>
          <w:color w:val="333333"/>
        </w:rPr>
        <w:br/>
        <w:t xml:space="preserve">　　受二十国集团（G20）委托，2014年7月，经济合作与发展组织（OECD）发布了</w:t>
      </w:r>
      <w:hyperlink r:id="rId6" w:tgtFrame="_blank" w:history="1">
        <w:r>
          <w:rPr>
            <w:rStyle w:val="a5"/>
            <w:rFonts w:ascii="微软雅黑" w:eastAsia="微软雅黑" w:hAnsi="微软雅黑" w:hint="eastAsia"/>
            <w:color w:val="000000"/>
            <w:u w:val="none"/>
            <w:bdr w:val="none" w:sz="0" w:space="0" w:color="auto" w:frame="1"/>
          </w:rPr>
          <w:t>金融账户涉税信息自动交换标准（以下简称“标准”）</w:t>
        </w:r>
      </w:hyperlink>
      <w:r>
        <w:rPr>
          <w:rFonts w:ascii="微软雅黑" w:eastAsia="微软雅黑" w:hAnsi="微软雅黑" w:hint="eastAsia"/>
          <w:color w:val="333333"/>
        </w:rPr>
        <w:t>，获得当年G20布里斯班峰会的核准，为各国加强国际税收合作、打击跨境逃避税提供了强有力的工具。在G20的大力推动下，截至目前已有100个国家（地区）承诺实施“标准”。</w:t>
      </w:r>
    </w:p>
    <w:p w:rsidR="008E5C38" w:rsidRDefault="008E5C38" w:rsidP="008E5C38">
      <w:pPr>
        <w:pStyle w:val="a3"/>
        <w:shd w:val="clear" w:color="auto" w:fill="FFFFFF"/>
        <w:spacing w:before="0" w:beforeAutospacing="0" w:after="0" w:afterAutospacing="0" w:line="540" w:lineRule="atLeast"/>
        <w:jc w:val="center"/>
        <w:rPr>
          <w:rFonts w:ascii="微软雅黑" w:eastAsia="微软雅黑" w:hAnsi="微软雅黑"/>
          <w:color w:val="333333"/>
        </w:rPr>
      </w:pPr>
      <w:r>
        <w:rPr>
          <w:rFonts w:ascii="微软雅黑" w:eastAsia="微软雅黑" w:hAnsi="微软雅黑"/>
          <w:noProof/>
          <w:color w:val="333333"/>
        </w:rPr>
        <w:drawing>
          <wp:inline distT="0" distB="0" distL="0" distR="0">
            <wp:extent cx="5645258" cy="3819525"/>
            <wp:effectExtent l="19050" t="0" r="0" b="0"/>
            <wp:docPr id="1" name="图片 1" descr="http://www.chinatax.gov.cn/c2622201/part/262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natax.gov.cn/c2622201/part/2622412.jpg"/>
                    <pic:cNvPicPr>
                      <a:picLocks noChangeAspect="1" noChangeArrowheads="1"/>
                    </pic:cNvPicPr>
                  </pic:nvPicPr>
                  <pic:blipFill>
                    <a:blip r:embed="rId7"/>
                    <a:srcRect/>
                    <a:stretch>
                      <a:fillRect/>
                    </a:stretch>
                  </pic:blipFill>
                  <pic:spPr bwMode="auto">
                    <a:xfrm>
                      <a:off x="0" y="0"/>
                      <a:ext cx="5647805" cy="3821248"/>
                    </a:xfrm>
                    <a:prstGeom prst="rect">
                      <a:avLst/>
                    </a:prstGeom>
                    <a:noFill/>
                    <a:ln w="9525">
                      <a:noFill/>
                      <a:miter lim="800000"/>
                      <a:headEnd/>
                      <a:tailEnd/>
                    </a:ln>
                  </pic:spPr>
                </pic:pic>
              </a:graphicData>
            </a:graphic>
          </wp:inline>
        </w:drawing>
      </w:r>
    </w:p>
    <w:p w:rsidR="008E5C38" w:rsidRDefault="008E5C38" w:rsidP="008E5C38">
      <w:pPr>
        <w:pStyle w:val="a3"/>
        <w:shd w:val="clear" w:color="auto" w:fill="FFFFFF"/>
        <w:spacing w:before="0" w:beforeAutospacing="0" w:after="0" w:afterAutospacing="0" w:line="540" w:lineRule="atLeast"/>
        <w:jc w:val="both"/>
        <w:rPr>
          <w:rFonts w:ascii="微软雅黑" w:eastAsia="微软雅黑" w:hAnsi="微软雅黑"/>
          <w:color w:val="333333"/>
        </w:rPr>
      </w:pPr>
    </w:p>
    <w:p w:rsidR="008E5C38" w:rsidRDefault="008E5C38" w:rsidP="008E5C38">
      <w:pPr>
        <w:pStyle w:val="a3"/>
        <w:shd w:val="clear" w:color="auto" w:fill="FFFFFF"/>
        <w:spacing w:before="0" w:beforeAutospacing="0" w:after="0" w:afterAutospacing="0" w:line="540" w:lineRule="atLeast"/>
        <w:rPr>
          <w:rFonts w:ascii="微软雅黑" w:eastAsia="微软雅黑" w:hAnsi="微软雅黑"/>
          <w:color w:val="333333"/>
        </w:rPr>
      </w:pPr>
      <w:r>
        <w:rPr>
          <w:rFonts w:ascii="微软雅黑" w:eastAsia="微软雅黑" w:hAnsi="微软雅黑" w:hint="eastAsia"/>
          <w:color w:val="333333"/>
        </w:rPr>
        <w:t xml:space="preserve">　　“标准”由主管当局间协议范本和统一报告标准两部分内容组成。主管当局间协议范本是规范各国（地区）税务主管当局之间如何开展金融账户涉税信息自</w:t>
      </w:r>
      <w:r>
        <w:rPr>
          <w:rFonts w:ascii="微软雅黑" w:eastAsia="微软雅黑" w:hAnsi="微软雅黑" w:hint="eastAsia"/>
          <w:color w:val="333333"/>
        </w:rPr>
        <w:lastRenderedPageBreak/>
        <w:t>动交换的操作性文件，以互惠型模式为基础，分为双边和多边两个版本。统一报告标准规定了金融机构收集和报送外国税收居民个人和企业账户信息的相关要求和程序。</w:t>
      </w:r>
      <w:r>
        <w:rPr>
          <w:rFonts w:ascii="微软雅黑" w:eastAsia="微软雅黑" w:hAnsi="微软雅黑" w:hint="eastAsia"/>
          <w:color w:val="333333"/>
        </w:rPr>
        <w:br/>
        <w:t xml:space="preserve">　　根据“标准”开展金融账户涉税信息自动交换，首先由一国（地区）金融机构通过尽职调查程序识别另一国（地区）税收居民个人和企业在该机构开立的账户，按年向金融机构所在国（地区）主管部门报送账户持有人名称、纳税人识别号、地址、账号、余额、利息、股息以及出售金融资产的收入等信息，再由该国（地区）税务主管当局与账户持有人的居民国税务主管当局开展信息交换，最终为各国（地区）进行跨境税源监管提供信息支持。具体过程如下图所示：</w:t>
      </w:r>
    </w:p>
    <w:p w:rsidR="008E5C38" w:rsidRDefault="008E5C38" w:rsidP="008E5C38">
      <w:pPr>
        <w:pStyle w:val="a3"/>
        <w:shd w:val="clear" w:color="auto" w:fill="FFFFFF"/>
        <w:spacing w:before="0" w:beforeAutospacing="0" w:after="0" w:afterAutospacing="0" w:line="540" w:lineRule="atLeast"/>
        <w:jc w:val="both"/>
        <w:rPr>
          <w:rFonts w:ascii="微软雅黑" w:eastAsia="微软雅黑" w:hAnsi="微软雅黑"/>
          <w:color w:val="333333"/>
        </w:rPr>
      </w:pPr>
    </w:p>
    <w:p w:rsidR="008E5C38" w:rsidRDefault="008E5C38" w:rsidP="008E5C38">
      <w:pPr>
        <w:pStyle w:val="a3"/>
        <w:shd w:val="clear" w:color="auto" w:fill="FFFFFF"/>
        <w:spacing w:before="0" w:beforeAutospacing="0" w:after="0" w:afterAutospacing="0" w:line="540" w:lineRule="atLeast"/>
        <w:jc w:val="center"/>
        <w:rPr>
          <w:rFonts w:ascii="微软雅黑" w:eastAsia="微软雅黑" w:hAnsi="微软雅黑"/>
          <w:color w:val="333333"/>
        </w:rPr>
      </w:pPr>
      <w:r>
        <w:rPr>
          <w:rFonts w:ascii="微软雅黑" w:eastAsia="微软雅黑" w:hAnsi="微软雅黑"/>
          <w:noProof/>
          <w:color w:val="333333"/>
        </w:rPr>
        <w:drawing>
          <wp:inline distT="0" distB="0" distL="0" distR="0">
            <wp:extent cx="5248275" cy="3409950"/>
            <wp:effectExtent l="19050" t="0" r="9525" b="0"/>
            <wp:docPr id="2" name="图片 2" descr="http://www.chinatax.gov.cn/c2622201/part/262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inatax.gov.cn/c2622201/part/2622217.jpg"/>
                    <pic:cNvPicPr>
                      <a:picLocks noChangeAspect="1" noChangeArrowheads="1"/>
                    </pic:cNvPicPr>
                  </pic:nvPicPr>
                  <pic:blipFill>
                    <a:blip r:embed="rId8"/>
                    <a:srcRect/>
                    <a:stretch>
                      <a:fillRect/>
                    </a:stretch>
                  </pic:blipFill>
                  <pic:spPr bwMode="auto">
                    <a:xfrm>
                      <a:off x="0" y="0"/>
                      <a:ext cx="5248275" cy="3409950"/>
                    </a:xfrm>
                    <a:prstGeom prst="rect">
                      <a:avLst/>
                    </a:prstGeom>
                    <a:noFill/>
                    <a:ln w="9525">
                      <a:noFill/>
                      <a:miter lim="800000"/>
                      <a:headEnd/>
                      <a:tailEnd/>
                    </a:ln>
                  </pic:spPr>
                </pic:pic>
              </a:graphicData>
            </a:graphic>
          </wp:inline>
        </w:drawing>
      </w:r>
    </w:p>
    <w:p w:rsidR="008E5C38" w:rsidRDefault="008E5C38" w:rsidP="008E5C38">
      <w:pPr>
        <w:pStyle w:val="a3"/>
        <w:shd w:val="clear" w:color="auto" w:fill="FFFFFF"/>
        <w:spacing w:before="0" w:beforeAutospacing="0" w:after="0" w:afterAutospacing="0" w:line="540" w:lineRule="atLeast"/>
        <w:rPr>
          <w:rFonts w:ascii="微软雅黑" w:eastAsia="微软雅黑" w:hAnsi="微软雅黑"/>
          <w:color w:val="333333"/>
        </w:rPr>
      </w:pPr>
      <w:r>
        <w:rPr>
          <w:rStyle w:val="a4"/>
          <w:rFonts w:ascii="微软雅黑" w:eastAsia="微软雅黑" w:hAnsi="微软雅黑" w:hint="eastAsia"/>
          <w:color w:val="333333"/>
          <w:bdr w:val="none" w:sz="0" w:space="0" w:color="auto" w:frame="1"/>
        </w:rPr>
        <w:t xml:space="preserve">　　我国“标准”实施时间表</w:t>
      </w:r>
      <w:r>
        <w:rPr>
          <w:rFonts w:ascii="微软雅黑" w:eastAsia="微软雅黑" w:hAnsi="微软雅黑" w:hint="eastAsia"/>
          <w:b/>
          <w:bCs/>
          <w:color w:val="333333"/>
          <w:bdr w:val="none" w:sz="0" w:space="0" w:color="auto" w:frame="1"/>
        </w:rPr>
        <w:br/>
      </w:r>
      <w:r>
        <w:rPr>
          <w:rStyle w:val="a4"/>
          <w:rFonts w:ascii="微软雅黑" w:eastAsia="微软雅黑" w:hAnsi="微软雅黑" w:hint="eastAsia"/>
          <w:color w:val="333333"/>
          <w:bdr w:val="none" w:sz="0" w:space="0" w:color="auto" w:frame="1"/>
        </w:rPr>
        <w:t xml:space="preserve">　　</w:t>
      </w:r>
      <w:r>
        <w:rPr>
          <w:rFonts w:ascii="MS Gothic" w:eastAsia="MS Gothic" w:hAnsi="MS Gothic" w:cs="MS Gothic" w:hint="eastAsia"/>
          <w:color w:val="333333"/>
        </w:rPr>
        <w:t>➢</w:t>
      </w:r>
      <w:r>
        <w:rPr>
          <w:rStyle w:val="apple-converted-space"/>
          <w:rFonts w:ascii="微软雅黑" w:eastAsia="微软雅黑" w:hAnsi="微软雅黑" w:hint="eastAsia"/>
          <w:color w:val="333333"/>
        </w:rPr>
        <w:t> </w:t>
      </w:r>
      <w:r>
        <w:rPr>
          <w:rStyle w:val="a4"/>
          <w:rFonts w:ascii="微软雅黑" w:eastAsia="微软雅黑" w:hAnsi="微软雅黑" w:hint="eastAsia"/>
          <w:color w:val="333333"/>
          <w:bdr w:val="none" w:sz="0" w:space="0" w:color="auto" w:frame="1"/>
        </w:rPr>
        <w:t>2014年9月</w:t>
      </w:r>
      <w:r>
        <w:rPr>
          <w:rStyle w:val="apple-converted-space"/>
          <w:rFonts w:ascii="微软雅黑" w:eastAsia="微软雅黑" w:hAnsi="微软雅黑" w:hint="eastAsia"/>
          <w:color w:val="333333"/>
        </w:rPr>
        <w:t> </w:t>
      </w:r>
      <w:r>
        <w:rPr>
          <w:rFonts w:ascii="微软雅黑" w:eastAsia="微软雅黑" w:hAnsi="微软雅黑" w:hint="eastAsia"/>
          <w:color w:val="333333"/>
        </w:rPr>
        <w:t>经国务院批准，我国在G20财政部长和央行行长会议上承诺将实施“标准”，首次对外交换信息的时间为2018年9月。</w:t>
      </w:r>
      <w:r>
        <w:rPr>
          <w:rFonts w:ascii="微软雅黑" w:eastAsia="微软雅黑" w:hAnsi="微软雅黑" w:hint="eastAsia"/>
          <w:color w:val="333333"/>
        </w:rPr>
        <w:br/>
      </w:r>
      <w:r>
        <w:rPr>
          <w:rStyle w:val="a4"/>
          <w:rFonts w:ascii="微软雅黑" w:eastAsia="微软雅黑" w:hAnsi="微软雅黑" w:hint="eastAsia"/>
          <w:color w:val="333333"/>
          <w:bdr w:val="none" w:sz="0" w:space="0" w:color="auto" w:frame="1"/>
        </w:rPr>
        <w:lastRenderedPageBreak/>
        <w:t xml:space="preserve">　　</w:t>
      </w:r>
      <w:r>
        <w:rPr>
          <w:rFonts w:ascii="MS Gothic" w:eastAsia="MS Gothic" w:hAnsi="MS Gothic" w:cs="MS Gothic" w:hint="eastAsia"/>
          <w:color w:val="333333"/>
        </w:rPr>
        <w:t>➢</w:t>
      </w:r>
      <w:r>
        <w:rPr>
          <w:rStyle w:val="apple-converted-space"/>
          <w:rFonts w:ascii="微软雅黑" w:eastAsia="微软雅黑" w:hAnsi="微软雅黑" w:hint="eastAsia"/>
          <w:color w:val="333333"/>
        </w:rPr>
        <w:t> </w:t>
      </w:r>
      <w:r>
        <w:rPr>
          <w:rStyle w:val="a4"/>
          <w:rFonts w:ascii="微软雅黑" w:eastAsia="微软雅黑" w:hAnsi="微软雅黑" w:hint="eastAsia"/>
          <w:color w:val="333333"/>
          <w:bdr w:val="none" w:sz="0" w:space="0" w:color="auto" w:frame="1"/>
        </w:rPr>
        <w:t>2015年7月</w:t>
      </w:r>
      <w:r>
        <w:rPr>
          <w:rStyle w:val="apple-converted-space"/>
          <w:rFonts w:ascii="微软雅黑" w:eastAsia="微软雅黑" w:hAnsi="微软雅黑" w:hint="eastAsia"/>
          <w:color w:val="333333"/>
        </w:rPr>
        <w:t> </w:t>
      </w:r>
      <w:hyperlink r:id="rId9" w:tgtFrame="_blank" w:history="1">
        <w:r>
          <w:rPr>
            <w:rStyle w:val="a5"/>
            <w:rFonts w:ascii="微软雅黑" w:eastAsia="微软雅黑" w:hAnsi="微软雅黑" w:hint="eastAsia"/>
            <w:color w:val="000000"/>
            <w:u w:val="none"/>
            <w:bdr w:val="none" w:sz="0" w:space="0" w:color="auto" w:frame="1"/>
          </w:rPr>
          <w:t>《多边税收征管互助公约》</w:t>
        </w:r>
      </w:hyperlink>
      <w:r>
        <w:rPr>
          <w:rFonts w:ascii="微软雅黑" w:eastAsia="微软雅黑" w:hAnsi="微软雅黑" w:hint="eastAsia"/>
          <w:color w:val="333333"/>
        </w:rPr>
        <w:t>由第12届全国人大常委会第15次会议批准，已于2016年2月对我国生效，为实施“标准”奠定了多边法律基础。</w:t>
      </w:r>
      <w:r>
        <w:rPr>
          <w:rFonts w:ascii="微软雅黑" w:eastAsia="微软雅黑" w:hAnsi="微软雅黑" w:hint="eastAsia"/>
          <w:color w:val="333333"/>
        </w:rPr>
        <w:br/>
      </w:r>
      <w:r>
        <w:rPr>
          <w:rStyle w:val="a4"/>
          <w:rFonts w:ascii="微软雅黑" w:eastAsia="微软雅黑" w:hAnsi="微软雅黑" w:hint="eastAsia"/>
          <w:color w:val="333333"/>
          <w:bdr w:val="none" w:sz="0" w:space="0" w:color="auto" w:frame="1"/>
        </w:rPr>
        <w:t xml:space="preserve">　　</w:t>
      </w:r>
      <w:r>
        <w:rPr>
          <w:rFonts w:ascii="MS Gothic" w:eastAsia="MS Gothic" w:hAnsi="MS Gothic" w:cs="MS Gothic" w:hint="eastAsia"/>
          <w:color w:val="333333"/>
        </w:rPr>
        <w:t>➢</w:t>
      </w:r>
      <w:r>
        <w:rPr>
          <w:rStyle w:val="apple-converted-space"/>
          <w:rFonts w:ascii="微软雅黑" w:eastAsia="微软雅黑" w:hAnsi="微软雅黑" w:hint="eastAsia"/>
          <w:color w:val="333333"/>
        </w:rPr>
        <w:t> </w:t>
      </w:r>
      <w:r>
        <w:rPr>
          <w:rStyle w:val="a4"/>
          <w:rFonts w:ascii="微软雅黑" w:eastAsia="微软雅黑" w:hAnsi="微软雅黑" w:hint="eastAsia"/>
          <w:color w:val="333333"/>
          <w:bdr w:val="none" w:sz="0" w:space="0" w:color="auto" w:frame="1"/>
        </w:rPr>
        <w:t>2015年12月</w:t>
      </w:r>
      <w:r>
        <w:rPr>
          <w:rStyle w:val="apple-converted-space"/>
          <w:rFonts w:ascii="微软雅黑" w:eastAsia="微软雅黑" w:hAnsi="微软雅黑" w:hint="eastAsia"/>
          <w:color w:val="333333"/>
        </w:rPr>
        <w:t> </w:t>
      </w:r>
      <w:r>
        <w:rPr>
          <w:rFonts w:ascii="微软雅黑" w:eastAsia="微软雅黑" w:hAnsi="微软雅黑" w:hint="eastAsia"/>
          <w:color w:val="333333"/>
        </w:rPr>
        <w:t>经国务院批准，国家税务总局签署了</w:t>
      </w:r>
      <w:hyperlink r:id="rId10" w:tgtFrame="_blank" w:history="1">
        <w:r>
          <w:rPr>
            <w:rStyle w:val="a5"/>
            <w:rFonts w:ascii="微软雅黑" w:eastAsia="微软雅黑" w:hAnsi="微软雅黑" w:hint="eastAsia"/>
            <w:color w:val="000000"/>
            <w:u w:val="none"/>
            <w:bdr w:val="none" w:sz="0" w:space="0" w:color="auto" w:frame="1"/>
          </w:rPr>
          <w:t>《金融账户涉税信息自动交换多边主管当局间协议》</w:t>
        </w:r>
      </w:hyperlink>
      <w:r>
        <w:rPr>
          <w:rFonts w:ascii="微软雅黑" w:eastAsia="微软雅黑" w:hAnsi="微软雅黑" w:hint="eastAsia"/>
          <w:color w:val="333333"/>
        </w:rPr>
        <w:t>，为我国与其他国家（地区）间相互交换金融账户涉税信息提供了操作层面的多边法律工具。</w:t>
      </w:r>
      <w:r>
        <w:rPr>
          <w:rFonts w:ascii="微软雅黑" w:eastAsia="微软雅黑" w:hAnsi="微软雅黑" w:hint="eastAsia"/>
          <w:color w:val="333333"/>
        </w:rPr>
        <w:br/>
      </w:r>
      <w:r>
        <w:rPr>
          <w:rStyle w:val="a4"/>
          <w:rFonts w:ascii="微软雅黑" w:eastAsia="微软雅黑" w:hAnsi="微软雅黑" w:hint="eastAsia"/>
          <w:color w:val="333333"/>
          <w:bdr w:val="none" w:sz="0" w:space="0" w:color="auto" w:frame="1"/>
        </w:rPr>
        <w:t xml:space="preserve">　　</w:t>
      </w:r>
      <w:r>
        <w:rPr>
          <w:rFonts w:ascii="MS Gothic" w:eastAsia="MS Gothic" w:hAnsi="MS Gothic" w:cs="MS Gothic" w:hint="eastAsia"/>
          <w:color w:val="333333"/>
        </w:rPr>
        <w:t>➢</w:t>
      </w:r>
      <w:r>
        <w:rPr>
          <w:rStyle w:val="apple-converted-space"/>
          <w:rFonts w:ascii="微软雅黑" w:eastAsia="微软雅黑" w:hAnsi="微软雅黑" w:hint="eastAsia"/>
          <w:color w:val="333333"/>
        </w:rPr>
        <w:t> </w:t>
      </w:r>
      <w:r>
        <w:rPr>
          <w:rStyle w:val="a4"/>
          <w:rFonts w:ascii="微软雅黑" w:eastAsia="微软雅黑" w:hAnsi="微软雅黑" w:hint="eastAsia"/>
          <w:color w:val="333333"/>
          <w:bdr w:val="none" w:sz="0" w:space="0" w:color="auto" w:frame="1"/>
        </w:rPr>
        <w:t>2016年10月</w:t>
      </w:r>
      <w:r>
        <w:rPr>
          <w:rStyle w:val="apple-converted-space"/>
          <w:rFonts w:ascii="微软雅黑" w:eastAsia="微软雅黑" w:hAnsi="微软雅黑" w:hint="eastAsia"/>
          <w:color w:val="333333"/>
        </w:rPr>
        <w:t> </w:t>
      </w:r>
      <w:r>
        <w:rPr>
          <w:rFonts w:ascii="微软雅黑" w:eastAsia="微软雅黑" w:hAnsi="微软雅黑" w:hint="eastAsia"/>
          <w:color w:val="333333"/>
        </w:rPr>
        <w:t>国家税务总局就《非居民金融账户涉税信息尽职调查管理办法（征求意见稿）》公开征求意见。</w:t>
      </w:r>
      <w:r>
        <w:rPr>
          <w:rFonts w:ascii="微软雅黑" w:eastAsia="微软雅黑" w:hAnsi="微软雅黑" w:hint="eastAsia"/>
          <w:color w:val="333333"/>
        </w:rPr>
        <w:br/>
      </w:r>
      <w:r>
        <w:rPr>
          <w:rStyle w:val="a4"/>
          <w:rFonts w:ascii="微软雅黑" w:eastAsia="微软雅黑" w:hAnsi="微软雅黑" w:hint="eastAsia"/>
          <w:color w:val="333333"/>
          <w:bdr w:val="none" w:sz="0" w:space="0" w:color="auto" w:frame="1"/>
        </w:rPr>
        <w:t xml:space="preserve">　　</w:t>
      </w:r>
      <w:r>
        <w:rPr>
          <w:rFonts w:ascii="MS Gothic" w:eastAsia="MS Gothic" w:hAnsi="MS Gothic" w:cs="MS Gothic" w:hint="eastAsia"/>
          <w:color w:val="333333"/>
        </w:rPr>
        <w:t>➢</w:t>
      </w:r>
      <w:r>
        <w:rPr>
          <w:rStyle w:val="apple-converted-space"/>
          <w:rFonts w:ascii="微软雅黑" w:eastAsia="微软雅黑" w:hAnsi="微软雅黑" w:hint="eastAsia"/>
          <w:color w:val="333333"/>
        </w:rPr>
        <w:t> </w:t>
      </w:r>
      <w:r>
        <w:rPr>
          <w:rStyle w:val="a4"/>
          <w:rFonts w:ascii="微软雅黑" w:eastAsia="微软雅黑" w:hAnsi="微软雅黑" w:hint="eastAsia"/>
          <w:color w:val="333333"/>
          <w:bdr w:val="none" w:sz="0" w:space="0" w:color="auto" w:frame="1"/>
        </w:rPr>
        <w:t>2017年5月9日</w:t>
      </w:r>
      <w:r>
        <w:rPr>
          <w:rStyle w:val="apple-converted-space"/>
          <w:rFonts w:ascii="微软雅黑" w:eastAsia="微软雅黑" w:hAnsi="微软雅黑" w:hint="eastAsia"/>
          <w:color w:val="333333"/>
        </w:rPr>
        <w:t> </w:t>
      </w:r>
      <w:hyperlink r:id="rId11" w:tgtFrame="_blank" w:history="1">
        <w:r>
          <w:rPr>
            <w:rStyle w:val="a5"/>
            <w:rFonts w:ascii="微软雅黑" w:eastAsia="微软雅黑" w:hAnsi="微软雅黑" w:hint="eastAsia"/>
            <w:color w:val="000000"/>
            <w:u w:val="none"/>
            <w:bdr w:val="none" w:sz="0" w:space="0" w:color="auto" w:frame="1"/>
          </w:rPr>
          <w:t>《非居民金融账户涉税信息尽职调查管理办法》</w:t>
        </w:r>
      </w:hyperlink>
      <w:r>
        <w:rPr>
          <w:rFonts w:ascii="微软雅黑" w:eastAsia="微软雅黑" w:hAnsi="微软雅黑" w:hint="eastAsia"/>
          <w:color w:val="333333"/>
        </w:rPr>
        <w:t>正式发布。</w:t>
      </w:r>
      <w:r>
        <w:rPr>
          <w:rFonts w:ascii="微软雅黑" w:eastAsia="微软雅黑" w:hAnsi="微软雅黑" w:hint="eastAsia"/>
          <w:color w:val="333333"/>
        </w:rPr>
        <w:br/>
      </w:r>
      <w:r>
        <w:rPr>
          <w:rStyle w:val="a4"/>
          <w:rFonts w:ascii="微软雅黑" w:eastAsia="微软雅黑" w:hAnsi="微软雅黑" w:hint="eastAsia"/>
          <w:color w:val="333333"/>
          <w:bdr w:val="none" w:sz="0" w:space="0" w:color="auto" w:frame="1"/>
        </w:rPr>
        <w:t xml:space="preserve">　　</w:t>
      </w:r>
      <w:r>
        <w:rPr>
          <w:rFonts w:ascii="MS Gothic" w:eastAsia="MS Gothic" w:hAnsi="MS Gothic" w:cs="MS Gothic" w:hint="eastAsia"/>
          <w:color w:val="333333"/>
        </w:rPr>
        <w:t>➢</w:t>
      </w:r>
      <w:r>
        <w:rPr>
          <w:rStyle w:val="apple-converted-space"/>
          <w:rFonts w:ascii="微软雅黑" w:eastAsia="微软雅黑" w:hAnsi="微软雅黑" w:hint="eastAsia"/>
          <w:color w:val="333333"/>
        </w:rPr>
        <w:t> </w:t>
      </w:r>
      <w:r>
        <w:rPr>
          <w:rStyle w:val="a4"/>
          <w:rFonts w:ascii="微软雅黑" w:eastAsia="微软雅黑" w:hAnsi="微软雅黑" w:hint="eastAsia"/>
          <w:color w:val="333333"/>
          <w:bdr w:val="none" w:sz="0" w:space="0" w:color="auto" w:frame="1"/>
        </w:rPr>
        <w:t>2017年7月1日</w:t>
      </w:r>
      <w:r>
        <w:rPr>
          <w:rStyle w:val="apple-converted-space"/>
          <w:rFonts w:ascii="微软雅黑" w:eastAsia="微软雅黑" w:hAnsi="微软雅黑" w:hint="eastAsia"/>
          <w:color w:val="333333"/>
        </w:rPr>
        <w:t> </w:t>
      </w:r>
      <w:r>
        <w:rPr>
          <w:rFonts w:ascii="微软雅黑" w:eastAsia="微软雅黑" w:hAnsi="微软雅黑" w:hint="eastAsia"/>
          <w:color w:val="333333"/>
        </w:rPr>
        <w:t>金融机构开始对新开立的个人和机构账户开展尽职调查。</w:t>
      </w:r>
      <w:r>
        <w:rPr>
          <w:rFonts w:ascii="微软雅黑" w:eastAsia="微软雅黑" w:hAnsi="微软雅黑" w:hint="eastAsia"/>
          <w:color w:val="333333"/>
        </w:rPr>
        <w:br/>
      </w:r>
      <w:r>
        <w:rPr>
          <w:rStyle w:val="a4"/>
          <w:rFonts w:ascii="微软雅黑" w:eastAsia="微软雅黑" w:hAnsi="微软雅黑" w:hint="eastAsia"/>
          <w:color w:val="333333"/>
          <w:bdr w:val="none" w:sz="0" w:space="0" w:color="auto" w:frame="1"/>
        </w:rPr>
        <w:t xml:space="preserve">　　</w:t>
      </w:r>
      <w:r>
        <w:rPr>
          <w:rFonts w:ascii="MS Gothic" w:eastAsia="MS Gothic" w:hAnsi="MS Gothic" w:cs="MS Gothic" w:hint="eastAsia"/>
          <w:color w:val="333333"/>
        </w:rPr>
        <w:t>➢</w:t>
      </w:r>
      <w:r>
        <w:rPr>
          <w:rStyle w:val="apple-converted-space"/>
          <w:rFonts w:ascii="微软雅黑" w:eastAsia="微软雅黑" w:hAnsi="微软雅黑" w:hint="eastAsia"/>
          <w:color w:val="333333"/>
        </w:rPr>
        <w:t> </w:t>
      </w:r>
      <w:r>
        <w:rPr>
          <w:rStyle w:val="a4"/>
          <w:rFonts w:ascii="微软雅黑" w:eastAsia="微软雅黑" w:hAnsi="微软雅黑" w:hint="eastAsia"/>
          <w:color w:val="333333"/>
          <w:bdr w:val="none" w:sz="0" w:space="0" w:color="auto" w:frame="1"/>
        </w:rPr>
        <w:t>2017年12月31日前</w:t>
      </w:r>
      <w:r>
        <w:rPr>
          <w:rStyle w:val="apple-converted-space"/>
          <w:rFonts w:ascii="微软雅黑" w:eastAsia="微软雅黑" w:hAnsi="微软雅黑" w:hint="eastAsia"/>
          <w:color w:val="333333"/>
        </w:rPr>
        <w:t> </w:t>
      </w:r>
      <w:r>
        <w:rPr>
          <w:rFonts w:ascii="微软雅黑" w:eastAsia="微软雅黑" w:hAnsi="微软雅黑" w:hint="eastAsia"/>
          <w:color w:val="333333"/>
        </w:rPr>
        <w:t>金融机构完成对存量个人高净值账户（截至2017年6月30日金融账户加总余额超过100万美元）的尽职调查。</w:t>
      </w:r>
      <w:r>
        <w:rPr>
          <w:rFonts w:ascii="微软雅黑" w:eastAsia="微软雅黑" w:hAnsi="微软雅黑" w:hint="eastAsia"/>
          <w:color w:val="333333"/>
        </w:rPr>
        <w:br/>
      </w:r>
      <w:r>
        <w:rPr>
          <w:rStyle w:val="a4"/>
          <w:rFonts w:ascii="微软雅黑" w:eastAsia="微软雅黑" w:hAnsi="微软雅黑" w:hint="eastAsia"/>
          <w:color w:val="333333"/>
          <w:bdr w:val="none" w:sz="0" w:space="0" w:color="auto" w:frame="1"/>
        </w:rPr>
        <w:t xml:space="preserve">　　</w:t>
      </w:r>
      <w:r>
        <w:rPr>
          <w:rFonts w:ascii="MS Gothic" w:eastAsia="MS Gothic" w:hAnsi="MS Gothic" w:cs="MS Gothic" w:hint="eastAsia"/>
          <w:color w:val="333333"/>
        </w:rPr>
        <w:t>➢</w:t>
      </w:r>
      <w:r>
        <w:rPr>
          <w:rStyle w:val="apple-converted-space"/>
          <w:rFonts w:ascii="微软雅黑" w:eastAsia="微软雅黑" w:hAnsi="微软雅黑" w:hint="eastAsia"/>
          <w:color w:val="333333"/>
        </w:rPr>
        <w:t> </w:t>
      </w:r>
      <w:r>
        <w:rPr>
          <w:rStyle w:val="a4"/>
          <w:rFonts w:ascii="微软雅黑" w:eastAsia="微软雅黑" w:hAnsi="微软雅黑" w:hint="eastAsia"/>
          <w:color w:val="333333"/>
          <w:bdr w:val="none" w:sz="0" w:space="0" w:color="auto" w:frame="1"/>
        </w:rPr>
        <w:t>2018年5月31日前</w:t>
      </w:r>
      <w:r>
        <w:rPr>
          <w:rStyle w:val="apple-converted-space"/>
          <w:rFonts w:ascii="微软雅黑" w:eastAsia="微软雅黑" w:hAnsi="微软雅黑" w:hint="eastAsia"/>
          <w:color w:val="333333"/>
        </w:rPr>
        <w:t> </w:t>
      </w:r>
      <w:r>
        <w:rPr>
          <w:rFonts w:ascii="微软雅黑" w:eastAsia="微软雅黑" w:hAnsi="微软雅黑" w:hint="eastAsia"/>
          <w:color w:val="333333"/>
        </w:rPr>
        <w:t>金融机构报送信息。</w:t>
      </w:r>
      <w:r>
        <w:rPr>
          <w:rFonts w:ascii="微软雅黑" w:eastAsia="微软雅黑" w:hAnsi="微软雅黑" w:hint="eastAsia"/>
          <w:color w:val="333333"/>
        </w:rPr>
        <w:br/>
      </w:r>
      <w:r>
        <w:rPr>
          <w:rStyle w:val="a4"/>
          <w:rFonts w:ascii="微软雅黑" w:eastAsia="微软雅黑" w:hAnsi="微软雅黑" w:hint="eastAsia"/>
          <w:color w:val="333333"/>
          <w:bdr w:val="none" w:sz="0" w:space="0" w:color="auto" w:frame="1"/>
        </w:rPr>
        <w:t xml:space="preserve">　　</w:t>
      </w:r>
      <w:r>
        <w:rPr>
          <w:rFonts w:ascii="MS Gothic" w:eastAsia="MS Gothic" w:hAnsi="MS Gothic" w:cs="MS Gothic" w:hint="eastAsia"/>
          <w:color w:val="333333"/>
        </w:rPr>
        <w:t>➢</w:t>
      </w:r>
      <w:r>
        <w:rPr>
          <w:rStyle w:val="apple-converted-space"/>
          <w:rFonts w:ascii="微软雅黑" w:eastAsia="微软雅黑" w:hAnsi="微软雅黑" w:hint="eastAsia"/>
          <w:color w:val="333333"/>
        </w:rPr>
        <w:t> </w:t>
      </w:r>
      <w:r>
        <w:rPr>
          <w:rStyle w:val="a4"/>
          <w:rFonts w:ascii="微软雅黑" w:eastAsia="微软雅黑" w:hAnsi="微软雅黑" w:hint="eastAsia"/>
          <w:color w:val="333333"/>
          <w:bdr w:val="none" w:sz="0" w:space="0" w:color="auto" w:frame="1"/>
        </w:rPr>
        <w:t>2018年9月</w:t>
      </w:r>
      <w:r>
        <w:rPr>
          <w:rStyle w:val="apple-converted-space"/>
          <w:rFonts w:ascii="微软雅黑" w:eastAsia="微软雅黑" w:hAnsi="微软雅黑" w:hint="eastAsia"/>
          <w:color w:val="333333"/>
        </w:rPr>
        <w:t> </w:t>
      </w:r>
      <w:r>
        <w:rPr>
          <w:rFonts w:ascii="微软雅黑" w:eastAsia="微软雅黑" w:hAnsi="微软雅黑" w:hint="eastAsia"/>
          <w:color w:val="333333"/>
        </w:rPr>
        <w:t>国家税务总局与其他国家（地区）税务主管当局第一次交换信息。</w:t>
      </w:r>
      <w:r>
        <w:rPr>
          <w:rFonts w:ascii="微软雅黑" w:eastAsia="微软雅黑" w:hAnsi="微软雅黑" w:hint="eastAsia"/>
          <w:color w:val="333333"/>
        </w:rPr>
        <w:br/>
      </w:r>
      <w:r>
        <w:rPr>
          <w:rStyle w:val="a4"/>
          <w:rFonts w:ascii="微软雅黑" w:eastAsia="微软雅黑" w:hAnsi="微软雅黑" w:hint="eastAsia"/>
          <w:color w:val="333333"/>
          <w:bdr w:val="none" w:sz="0" w:space="0" w:color="auto" w:frame="1"/>
        </w:rPr>
        <w:t xml:space="preserve">　　</w:t>
      </w:r>
      <w:r>
        <w:rPr>
          <w:rFonts w:ascii="MS Gothic" w:eastAsia="MS Gothic" w:hAnsi="MS Gothic" w:cs="MS Gothic" w:hint="eastAsia"/>
          <w:color w:val="333333"/>
        </w:rPr>
        <w:t>➢</w:t>
      </w:r>
      <w:r>
        <w:rPr>
          <w:rStyle w:val="apple-converted-space"/>
          <w:rFonts w:ascii="微软雅黑" w:eastAsia="微软雅黑" w:hAnsi="微软雅黑" w:hint="eastAsia"/>
          <w:color w:val="333333"/>
        </w:rPr>
        <w:t> </w:t>
      </w:r>
      <w:r>
        <w:rPr>
          <w:rStyle w:val="a4"/>
          <w:rFonts w:ascii="微软雅黑" w:eastAsia="微软雅黑" w:hAnsi="微软雅黑" w:hint="eastAsia"/>
          <w:color w:val="333333"/>
          <w:bdr w:val="none" w:sz="0" w:space="0" w:color="auto" w:frame="1"/>
        </w:rPr>
        <w:t>2018年12月31日前</w:t>
      </w:r>
      <w:r>
        <w:rPr>
          <w:rStyle w:val="apple-converted-space"/>
          <w:rFonts w:ascii="微软雅黑" w:eastAsia="微软雅黑" w:hAnsi="微软雅黑" w:hint="eastAsia"/>
          <w:color w:val="333333"/>
        </w:rPr>
        <w:t> </w:t>
      </w:r>
      <w:r>
        <w:rPr>
          <w:rFonts w:ascii="微软雅黑" w:eastAsia="微软雅黑" w:hAnsi="微软雅黑" w:hint="eastAsia"/>
          <w:color w:val="333333"/>
        </w:rPr>
        <w:t>金融机构完成对存量个人低净值账户和全部存量机构账户的尽职调查。</w:t>
      </w:r>
    </w:p>
    <w:p w:rsidR="008E5C38" w:rsidRDefault="008E5C38" w:rsidP="008E5C38">
      <w:pPr>
        <w:pStyle w:val="a3"/>
        <w:shd w:val="clear" w:color="auto" w:fill="FFFFFF"/>
        <w:spacing w:before="300" w:beforeAutospacing="0" w:after="0" w:afterAutospacing="0" w:line="540" w:lineRule="atLeast"/>
        <w:jc w:val="center"/>
        <w:rPr>
          <w:rFonts w:ascii="微软雅黑" w:eastAsia="微软雅黑" w:hAnsi="微软雅黑"/>
          <w:color w:val="333333"/>
        </w:rPr>
      </w:pPr>
      <w:r>
        <w:rPr>
          <w:rFonts w:ascii="微软雅黑" w:eastAsia="微软雅黑" w:hAnsi="微软雅黑" w:hint="eastAsia"/>
          <w:color w:val="333333"/>
        </w:rPr>
        <w:t xml:space="preserve">　　</w:t>
      </w:r>
      <w:r>
        <w:rPr>
          <w:rFonts w:ascii="微软雅黑" w:eastAsia="微软雅黑" w:hAnsi="微软雅黑"/>
          <w:noProof/>
          <w:color w:val="333333"/>
        </w:rPr>
        <w:drawing>
          <wp:inline distT="0" distB="0" distL="0" distR="0">
            <wp:extent cx="5562600" cy="447675"/>
            <wp:effectExtent l="19050" t="0" r="0" b="0"/>
            <wp:docPr id="3" name="图片 3" descr="http://www.chinatax.gov.cn/c2622201/part/262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inatax.gov.cn/c2622201/part/2622256.jpg"/>
                    <pic:cNvPicPr>
                      <a:picLocks noChangeAspect="1" noChangeArrowheads="1"/>
                    </pic:cNvPicPr>
                  </pic:nvPicPr>
                  <pic:blipFill>
                    <a:blip r:embed="rId12"/>
                    <a:srcRect/>
                    <a:stretch>
                      <a:fillRect/>
                    </a:stretch>
                  </pic:blipFill>
                  <pic:spPr bwMode="auto">
                    <a:xfrm>
                      <a:off x="0" y="0"/>
                      <a:ext cx="5562600" cy="447675"/>
                    </a:xfrm>
                    <a:prstGeom prst="rect">
                      <a:avLst/>
                    </a:prstGeom>
                    <a:noFill/>
                    <a:ln w="9525">
                      <a:noFill/>
                      <a:miter lim="800000"/>
                      <a:headEnd/>
                      <a:tailEnd/>
                    </a:ln>
                  </pic:spPr>
                </pic:pic>
              </a:graphicData>
            </a:graphic>
          </wp:inline>
        </w:drawing>
      </w:r>
    </w:p>
    <w:p w:rsidR="008E5C38" w:rsidRDefault="008E5C38" w:rsidP="004771B8">
      <w:pPr>
        <w:pStyle w:val="a3"/>
        <w:shd w:val="clear" w:color="auto" w:fill="FFFFFF"/>
        <w:spacing w:before="0" w:beforeAutospacing="0" w:after="0" w:afterAutospacing="0" w:line="540" w:lineRule="atLeast"/>
        <w:rPr>
          <w:rFonts w:ascii="微软雅黑" w:eastAsia="微软雅黑" w:hAnsi="微软雅黑"/>
          <w:color w:val="333333"/>
        </w:rPr>
      </w:pPr>
      <w:r>
        <w:rPr>
          <w:rFonts w:ascii="微软雅黑" w:eastAsia="微软雅黑" w:hAnsi="微软雅黑" w:hint="eastAsia"/>
          <w:color w:val="333333"/>
        </w:rPr>
        <w:lastRenderedPageBreak/>
        <w:t xml:space="preserve">　　金融机构是开展金融账户涉税信息尽职调查和信息报送工作的主体，主要是指依法在中华人民共和国境内设立的金融机构，不包括我国金融机构在海外的分支机构。</w:t>
      </w:r>
      <w:r>
        <w:rPr>
          <w:rFonts w:ascii="微软雅黑" w:eastAsia="微软雅黑" w:hAnsi="微软雅黑" w:hint="eastAsia"/>
          <w:color w:val="333333"/>
        </w:rPr>
        <w:br/>
        <w:t xml:space="preserve">　　上述金融机构按照业务类型分为四类：存款机构、托管机构、投资机构和特定的保险机构，不包括金融资产管理公司、财务公司、金融租赁公司、汽车金融公司、消费金融公司、货币经纪公司、证券登记结算机构等。</w:t>
      </w:r>
      <w:r>
        <w:rPr>
          <w:rFonts w:ascii="微软雅黑" w:eastAsia="微软雅黑" w:hAnsi="微软雅黑" w:hint="eastAsia"/>
          <w:color w:val="333333"/>
        </w:rPr>
        <w:br/>
        <w:t xml:space="preserve">　　金融机构可以委托代第三方开展尽职调查和信息报送，但相关责任仍由金融机构承担。基金、信托等属于投资机构的，可以分别由基金管理公司、信托公司作为第三方完成尽职调查相关工作。　　</w:t>
      </w:r>
      <w:r>
        <w:rPr>
          <w:rFonts w:ascii="微软雅黑" w:eastAsia="微软雅黑" w:hAnsi="微软雅黑"/>
          <w:noProof/>
          <w:color w:val="333333"/>
        </w:rPr>
        <w:drawing>
          <wp:inline distT="0" distB="0" distL="0" distR="0">
            <wp:extent cx="5562600" cy="447675"/>
            <wp:effectExtent l="19050" t="0" r="0" b="0"/>
            <wp:docPr id="4" name="图片 4" descr="http://www.chinatax.gov.cn/c2622201/part/262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inatax.gov.cn/c2622201/part/2622257.jpg"/>
                    <pic:cNvPicPr>
                      <a:picLocks noChangeAspect="1" noChangeArrowheads="1"/>
                    </pic:cNvPicPr>
                  </pic:nvPicPr>
                  <pic:blipFill>
                    <a:blip r:embed="rId13"/>
                    <a:srcRect/>
                    <a:stretch>
                      <a:fillRect/>
                    </a:stretch>
                  </pic:blipFill>
                  <pic:spPr bwMode="auto">
                    <a:xfrm>
                      <a:off x="0" y="0"/>
                      <a:ext cx="5562600" cy="447675"/>
                    </a:xfrm>
                    <a:prstGeom prst="rect">
                      <a:avLst/>
                    </a:prstGeom>
                    <a:noFill/>
                    <a:ln w="9525">
                      <a:noFill/>
                      <a:miter lim="800000"/>
                      <a:headEnd/>
                      <a:tailEnd/>
                    </a:ln>
                  </pic:spPr>
                </pic:pic>
              </a:graphicData>
            </a:graphic>
          </wp:inline>
        </w:drawing>
      </w:r>
    </w:p>
    <w:p w:rsidR="008E5C38" w:rsidRDefault="008E5C38" w:rsidP="008E5C38">
      <w:pPr>
        <w:pStyle w:val="a3"/>
        <w:shd w:val="clear" w:color="auto" w:fill="FFFFFF"/>
        <w:spacing w:before="0" w:beforeAutospacing="0" w:after="0" w:afterAutospacing="0" w:line="540" w:lineRule="atLeast"/>
        <w:rPr>
          <w:rFonts w:ascii="微软雅黑" w:eastAsia="微软雅黑" w:hAnsi="微软雅黑"/>
          <w:color w:val="333333"/>
        </w:rPr>
      </w:pPr>
      <w:r>
        <w:rPr>
          <w:rFonts w:ascii="微软雅黑" w:eastAsia="微软雅黑" w:hAnsi="微软雅黑" w:hint="eastAsia"/>
          <w:color w:val="333333"/>
        </w:rPr>
        <w:t xml:space="preserve">　　金融机构应对在本机构开立的相关账户进行尽职调查，识别非居民金融账户，记录并报送非居民金融账户相关信息。</w:t>
      </w:r>
      <w:r>
        <w:rPr>
          <w:rFonts w:ascii="微软雅黑" w:eastAsia="微软雅黑" w:hAnsi="微软雅黑" w:hint="eastAsia"/>
          <w:color w:val="333333"/>
        </w:rPr>
        <w:br/>
        <w:t xml:space="preserve">　　非居民是指中国税收居民以外的个人、企业和其他组织，但不包括政府机构、国际组织、中央银行、金融机构或者在证券市场上市交易的公司及其关联机构。前述证券市场是指被所在地政府认可和监管的证券市场。中国税收居民是指中国税法规定的居民企业或者居民个人。</w:t>
      </w:r>
      <w:r>
        <w:rPr>
          <w:rFonts w:ascii="微软雅黑" w:eastAsia="微软雅黑" w:hAnsi="微软雅黑" w:hint="eastAsia"/>
          <w:color w:val="333333"/>
        </w:rPr>
        <w:br/>
        <w:t xml:space="preserve">　　非居民金融账户是指在我国境内的金融机构开立或者保有的、由非居民持有或者有非居民控制人的消极非金融机构持有的金融账户。金融机构应当在识别出非居民金融账户之日起将其归入非居民金融账户进行管理。</w:t>
      </w:r>
      <w:r>
        <w:rPr>
          <w:rFonts w:ascii="微软雅黑" w:eastAsia="微软雅黑" w:hAnsi="微软雅黑" w:hint="eastAsia"/>
          <w:color w:val="333333"/>
        </w:rPr>
        <w:br/>
        <w:t xml:space="preserve">　　账户持有人同时构成中国税收居民和其他国家（地区）税收居民的，金融机构也应当收集并报送其账户信息。</w:t>
      </w:r>
    </w:p>
    <w:p w:rsidR="008E5C38" w:rsidRDefault="008E5C38" w:rsidP="008E5C38">
      <w:pPr>
        <w:pStyle w:val="a3"/>
        <w:shd w:val="clear" w:color="auto" w:fill="FFFFFF"/>
        <w:spacing w:before="300" w:beforeAutospacing="0" w:after="0" w:afterAutospacing="0" w:line="540" w:lineRule="atLeast"/>
        <w:jc w:val="center"/>
        <w:rPr>
          <w:rFonts w:ascii="微软雅黑" w:eastAsia="微软雅黑" w:hAnsi="微软雅黑"/>
          <w:color w:val="333333"/>
        </w:rPr>
      </w:pPr>
      <w:r>
        <w:rPr>
          <w:rFonts w:ascii="微软雅黑" w:eastAsia="微软雅黑" w:hAnsi="微软雅黑" w:hint="eastAsia"/>
          <w:color w:val="333333"/>
        </w:rPr>
        <w:lastRenderedPageBreak/>
        <w:t xml:space="preserve">　　</w:t>
      </w:r>
      <w:r>
        <w:rPr>
          <w:rFonts w:ascii="微软雅黑" w:eastAsia="微软雅黑" w:hAnsi="微软雅黑"/>
          <w:noProof/>
          <w:color w:val="333333"/>
        </w:rPr>
        <w:drawing>
          <wp:inline distT="0" distB="0" distL="0" distR="0">
            <wp:extent cx="5667375" cy="438150"/>
            <wp:effectExtent l="19050" t="0" r="9525" b="0"/>
            <wp:docPr id="5" name="图片 5" descr="http://www.chinatax.gov.cn/c2622201/part/262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inatax.gov.cn/c2622201/part/2622258.jpg"/>
                    <pic:cNvPicPr>
                      <a:picLocks noChangeAspect="1" noChangeArrowheads="1"/>
                    </pic:cNvPicPr>
                  </pic:nvPicPr>
                  <pic:blipFill>
                    <a:blip r:embed="rId14"/>
                    <a:srcRect/>
                    <a:stretch>
                      <a:fillRect/>
                    </a:stretch>
                  </pic:blipFill>
                  <pic:spPr bwMode="auto">
                    <a:xfrm>
                      <a:off x="0" y="0"/>
                      <a:ext cx="5667375" cy="438150"/>
                    </a:xfrm>
                    <a:prstGeom prst="rect">
                      <a:avLst/>
                    </a:prstGeom>
                    <a:noFill/>
                    <a:ln w="9525">
                      <a:noFill/>
                      <a:miter lim="800000"/>
                      <a:headEnd/>
                      <a:tailEnd/>
                    </a:ln>
                  </pic:spPr>
                </pic:pic>
              </a:graphicData>
            </a:graphic>
          </wp:inline>
        </w:drawing>
      </w:r>
    </w:p>
    <w:p w:rsidR="008E5C38" w:rsidRDefault="008E5C38" w:rsidP="008E5C38">
      <w:pPr>
        <w:pStyle w:val="a3"/>
        <w:shd w:val="clear" w:color="auto" w:fill="FFFFFF"/>
        <w:spacing w:before="0" w:beforeAutospacing="0" w:after="0" w:afterAutospacing="0" w:line="540" w:lineRule="atLeast"/>
        <w:rPr>
          <w:rFonts w:ascii="微软雅黑" w:eastAsia="微软雅黑" w:hAnsi="微软雅黑"/>
          <w:color w:val="333333"/>
        </w:rPr>
      </w:pPr>
      <w:r>
        <w:rPr>
          <w:rFonts w:ascii="微软雅黑" w:eastAsia="微软雅黑" w:hAnsi="微软雅黑" w:hint="eastAsia"/>
          <w:color w:val="333333"/>
        </w:rPr>
        <w:t xml:space="preserve">　　根据账户持有人的不同，金融账户分为个人账户和机构账户。个人账户和机构账户又以2017年6月30日为时间点进一步划分为新开账户和存量账户。每种账户的尽职调查程序均有所不同。</w:t>
      </w:r>
    </w:p>
    <w:p w:rsidR="008E5C38" w:rsidRDefault="008E5C38" w:rsidP="008E5C38">
      <w:pPr>
        <w:pStyle w:val="a3"/>
        <w:shd w:val="clear" w:color="auto" w:fill="FFFFFF"/>
        <w:spacing w:before="0" w:beforeAutospacing="0" w:after="0" w:afterAutospacing="0" w:line="540" w:lineRule="atLeast"/>
        <w:rPr>
          <w:rFonts w:ascii="微软雅黑" w:eastAsia="微软雅黑" w:hAnsi="微软雅黑"/>
          <w:color w:val="333333"/>
        </w:rPr>
      </w:pPr>
      <w:r>
        <w:rPr>
          <w:rStyle w:val="a4"/>
          <w:rFonts w:ascii="微软雅黑" w:eastAsia="微软雅黑" w:hAnsi="微软雅黑" w:hint="eastAsia"/>
          <w:color w:val="333333"/>
          <w:bdr w:val="none" w:sz="0" w:space="0" w:color="auto" w:frame="1"/>
        </w:rPr>
        <w:t xml:space="preserve">　　（一）新开个人账户尽职调查程序</w:t>
      </w:r>
    </w:p>
    <w:p w:rsidR="008E5C38" w:rsidRDefault="008E5C38" w:rsidP="008E5C38">
      <w:pPr>
        <w:pStyle w:val="a3"/>
        <w:shd w:val="clear" w:color="auto" w:fill="FFFFFF"/>
        <w:spacing w:before="0" w:beforeAutospacing="0" w:after="0" w:afterAutospacing="0" w:line="540" w:lineRule="atLeast"/>
        <w:jc w:val="center"/>
        <w:rPr>
          <w:rFonts w:ascii="微软雅黑" w:eastAsia="微软雅黑" w:hAnsi="微软雅黑"/>
          <w:color w:val="333333"/>
        </w:rPr>
      </w:pPr>
      <w:r>
        <w:rPr>
          <w:rFonts w:ascii="微软雅黑" w:eastAsia="微软雅黑" w:hAnsi="微软雅黑"/>
          <w:noProof/>
          <w:color w:val="333333"/>
        </w:rPr>
        <w:drawing>
          <wp:inline distT="0" distB="0" distL="0" distR="0">
            <wp:extent cx="5753100" cy="4257675"/>
            <wp:effectExtent l="19050" t="0" r="0" b="0"/>
            <wp:docPr id="6" name="图片 6" descr="http://www.chinatax.gov.cn/c2622201/part/262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inatax.gov.cn/c2622201/part/2622216.jpg"/>
                    <pic:cNvPicPr>
                      <a:picLocks noChangeAspect="1" noChangeArrowheads="1"/>
                    </pic:cNvPicPr>
                  </pic:nvPicPr>
                  <pic:blipFill>
                    <a:blip r:embed="rId15"/>
                    <a:srcRect/>
                    <a:stretch>
                      <a:fillRect/>
                    </a:stretch>
                  </pic:blipFill>
                  <pic:spPr bwMode="auto">
                    <a:xfrm>
                      <a:off x="0" y="0"/>
                      <a:ext cx="5753100" cy="4257675"/>
                    </a:xfrm>
                    <a:prstGeom prst="rect">
                      <a:avLst/>
                    </a:prstGeom>
                    <a:noFill/>
                    <a:ln w="9525">
                      <a:noFill/>
                      <a:miter lim="800000"/>
                      <a:headEnd/>
                      <a:tailEnd/>
                    </a:ln>
                  </pic:spPr>
                </pic:pic>
              </a:graphicData>
            </a:graphic>
          </wp:inline>
        </w:drawing>
      </w:r>
    </w:p>
    <w:p w:rsidR="008E5C38" w:rsidRDefault="008E5C38" w:rsidP="008E5C38">
      <w:pPr>
        <w:pStyle w:val="a3"/>
        <w:shd w:val="clear" w:color="auto" w:fill="FFFFFF"/>
        <w:spacing w:before="0" w:beforeAutospacing="0" w:after="0" w:afterAutospacing="0" w:line="540" w:lineRule="atLeast"/>
        <w:jc w:val="both"/>
        <w:rPr>
          <w:rFonts w:ascii="微软雅黑" w:eastAsia="微软雅黑" w:hAnsi="微软雅黑"/>
          <w:color w:val="333333"/>
        </w:rPr>
      </w:pPr>
    </w:p>
    <w:p w:rsidR="004771B8" w:rsidRDefault="008E5C38" w:rsidP="008E5C38">
      <w:pPr>
        <w:pStyle w:val="a3"/>
        <w:shd w:val="clear" w:color="auto" w:fill="FFFFFF"/>
        <w:spacing w:before="0" w:beforeAutospacing="0" w:after="0" w:afterAutospacing="0" w:line="540" w:lineRule="atLeast"/>
        <w:rPr>
          <w:rStyle w:val="a4"/>
          <w:rFonts w:ascii="微软雅黑" w:eastAsia="微软雅黑" w:hAnsi="微软雅黑"/>
          <w:color w:val="333333"/>
          <w:bdr w:val="none" w:sz="0" w:space="0" w:color="auto" w:frame="1"/>
        </w:rPr>
      </w:pPr>
      <w:r>
        <w:rPr>
          <w:rStyle w:val="a4"/>
          <w:rFonts w:ascii="微软雅黑" w:eastAsia="微软雅黑" w:hAnsi="微软雅黑" w:hint="eastAsia"/>
          <w:color w:val="333333"/>
          <w:bdr w:val="none" w:sz="0" w:space="0" w:color="auto" w:frame="1"/>
        </w:rPr>
        <w:t xml:space="preserve">　　</w:t>
      </w:r>
    </w:p>
    <w:p w:rsidR="004771B8" w:rsidRDefault="004771B8">
      <w:pPr>
        <w:widowControl/>
        <w:jc w:val="left"/>
        <w:rPr>
          <w:rStyle w:val="a4"/>
          <w:rFonts w:ascii="微软雅黑" w:eastAsia="微软雅黑" w:hAnsi="微软雅黑" w:cs="宋体"/>
          <w:color w:val="333333"/>
          <w:kern w:val="0"/>
          <w:sz w:val="24"/>
          <w:szCs w:val="24"/>
          <w:bdr w:val="none" w:sz="0" w:space="0" w:color="auto" w:frame="1"/>
        </w:rPr>
      </w:pPr>
      <w:r>
        <w:rPr>
          <w:rStyle w:val="a4"/>
          <w:rFonts w:ascii="微软雅黑" w:eastAsia="微软雅黑" w:hAnsi="微软雅黑"/>
          <w:color w:val="333333"/>
          <w:bdr w:val="none" w:sz="0" w:space="0" w:color="auto" w:frame="1"/>
        </w:rPr>
        <w:br w:type="page"/>
      </w:r>
    </w:p>
    <w:p w:rsidR="008E5C38" w:rsidRDefault="008E5C38" w:rsidP="008E5C38">
      <w:pPr>
        <w:pStyle w:val="a3"/>
        <w:shd w:val="clear" w:color="auto" w:fill="FFFFFF"/>
        <w:spacing w:before="0" w:beforeAutospacing="0" w:after="0" w:afterAutospacing="0" w:line="540" w:lineRule="atLeast"/>
        <w:rPr>
          <w:rFonts w:ascii="微软雅黑" w:eastAsia="微软雅黑" w:hAnsi="微软雅黑"/>
          <w:color w:val="333333"/>
        </w:rPr>
      </w:pPr>
      <w:r>
        <w:rPr>
          <w:rStyle w:val="a4"/>
          <w:rFonts w:ascii="微软雅黑" w:eastAsia="微软雅黑" w:hAnsi="微软雅黑" w:hint="eastAsia"/>
          <w:color w:val="333333"/>
          <w:bdr w:val="none" w:sz="0" w:space="0" w:color="auto" w:frame="1"/>
        </w:rPr>
        <w:lastRenderedPageBreak/>
        <w:t>（二）存量个人高净值账户尽职调查程序</w:t>
      </w:r>
    </w:p>
    <w:p w:rsidR="008E5C38" w:rsidRDefault="008E5C38" w:rsidP="008E5C38">
      <w:pPr>
        <w:pStyle w:val="a3"/>
        <w:shd w:val="clear" w:color="auto" w:fill="FFFFFF"/>
        <w:spacing w:before="0" w:beforeAutospacing="0" w:after="0" w:afterAutospacing="0" w:line="540" w:lineRule="atLeast"/>
        <w:jc w:val="center"/>
        <w:rPr>
          <w:rFonts w:ascii="微软雅黑" w:eastAsia="微软雅黑" w:hAnsi="微软雅黑"/>
          <w:color w:val="333333"/>
        </w:rPr>
      </w:pPr>
      <w:r>
        <w:rPr>
          <w:rFonts w:ascii="微软雅黑" w:eastAsia="微软雅黑" w:hAnsi="微软雅黑"/>
          <w:noProof/>
          <w:color w:val="333333"/>
        </w:rPr>
        <w:drawing>
          <wp:inline distT="0" distB="0" distL="0" distR="0">
            <wp:extent cx="5915025" cy="6086475"/>
            <wp:effectExtent l="19050" t="0" r="9525" b="0"/>
            <wp:docPr id="7" name="图片 7" descr="http://www.chinatax.gov.cn/c2622201/part/262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inatax.gov.cn/c2622201/part/2622302.jpg"/>
                    <pic:cNvPicPr>
                      <a:picLocks noChangeAspect="1" noChangeArrowheads="1"/>
                    </pic:cNvPicPr>
                  </pic:nvPicPr>
                  <pic:blipFill>
                    <a:blip r:embed="rId16"/>
                    <a:srcRect/>
                    <a:stretch>
                      <a:fillRect/>
                    </a:stretch>
                  </pic:blipFill>
                  <pic:spPr bwMode="auto">
                    <a:xfrm>
                      <a:off x="0" y="0"/>
                      <a:ext cx="5915025" cy="6086475"/>
                    </a:xfrm>
                    <a:prstGeom prst="rect">
                      <a:avLst/>
                    </a:prstGeom>
                    <a:noFill/>
                    <a:ln w="9525">
                      <a:noFill/>
                      <a:miter lim="800000"/>
                      <a:headEnd/>
                      <a:tailEnd/>
                    </a:ln>
                  </pic:spPr>
                </pic:pic>
              </a:graphicData>
            </a:graphic>
          </wp:inline>
        </w:drawing>
      </w:r>
    </w:p>
    <w:p w:rsidR="008E5C38" w:rsidRDefault="008E5C38" w:rsidP="008E5C38">
      <w:pPr>
        <w:pStyle w:val="a3"/>
        <w:shd w:val="clear" w:color="auto" w:fill="FFFFFF"/>
        <w:spacing w:before="0" w:beforeAutospacing="0" w:after="0" w:afterAutospacing="0" w:line="540" w:lineRule="atLeast"/>
        <w:jc w:val="both"/>
        <w:rPr>
          <w:rFonts w:ascii="微软雅黑" w:eastAsia="微软雅黑" w:hAnsi="微软雅黑"/>
          <w:color w:val="333333"/>
        </w:rPr>
      </w:pPr>
    </w:p>
    <w:p w:rsidR="004771B8" w:rsidRDefault="008E5C38" w:rsidP="008E5C38">
      <w:pPr>
        <w:pStyle w:val="a3"/>
        <w:shd w:val="clear" w:color="auto" w:fill="FFFFFF"/>
        <w:spacing w:before="0" w:beforeAutospacing="0" w:after="0" w:afterAutospacing="0" w:line="540" w:lineRule="atLeast"/>
        <w:rPr>
          <w:rStyle w:val="a4"/>
          <w:rFonts w:ascii="微软雅黑" w:eastAsia="微软雅黑" w:hAnsi="微软雅黑"/>
          <w:color w:val="333333"/>
          <w:bdr w:val="none" w:sz="0" w:space="0" w:color="auto" w:frame="1"/>
        </w:rPr>
      </w:pPr>
      <w:r>
        <w:rPr>
          <w:rStyle w:val="a4"/>
          <w:rFonts w:ascii="微软雅黑" w:eastAsia="微软雅黑" w:hAnsi="微软雅黑" w:hint="eastAsia"/>
          <w:color w:val="333333"/>
          <w:bdr w:val="none" w:sz="0" w:space="0" w:color="auto" w:frame="1"/>
        </w:rPr>
        <w:t xml:space="preserve">　　</w:t>
      </w:r>
    </w:p>
    <w:p w:rsidR="004771B8" w:rsidRDefault="004771B8">
      <w:pPr>
        <w:widowControl/>
        <w:jc w:val="left"/>
        <w:rPr>
          <w:rStyle w:val="a4"/>
          <w:rFonts w:ascii="微软雅黑" w:eastAsia="微软雅黑" w:hAnsi="微软雅黑" w:cs="宋体"/>
          <w:color w:val="333333"/>
          <w:kern w:val="0"/>
          <w:sz w:val="24"/>
          <w:szCs w:val="24"/>
          <w:bdr w:val="none" w:sz="0" w:space="0" w:color="auto" w:frame="1"/>
        </w:rPr>
      </w:pPr>
      <w:r>
        <w:rPr>
          <w:rStyle w:val="a4"/>
          <w:rFonts w:ascii="微软雅黑" w:eastAsia="微软雅黑" w:hAnsi="微软雅黑"/>
          <w:color w:val="333333"/>
          <w:bdr w:val="none" w:sz="0" w:space="0" w:color="auto" w:frame="1"/>
        </w:rPr>
        <w:br w:type="page"/>
      </w:r>
    </w:p>
    <w:p w:rsidR="008E5C38" w:rsidRDefault="008E5C38" w:rsidP="008E5C38">
      <w:pPr>
        <w:pStyle w:val="a3"/>
        <w:shd w:val="clear" w:color="auto" w:fill="FFFFFF"/>
        <w:spacing w:before="0" w:beforeAutospacing="0" w:after="0" w:afterAutospacing="0" w:line="540" w:lineRule="atLeast"/>
        <w:rPr>
          <w:rFonts w:ascii="微软雅黑" w:eastAsia="微软雅黑" w:hAnsi="微软雅黑"/>
          <w:color w:val="333333"/>
        </w:rPr>
      </w:pPr>
      <w:r>
        <w:rPr>
          <w:rStyle w:val="a4"/>
          <w:rFonts w:ascii="微软雅黑" w:eastAsia="微软雅黑" w:hAnsi="微软雅黑" w:hint="eastAsia"/>
          <w:color w:val="333333"/>
          <w:bdr w:val="none" w:sz="0" w:space="0" w:color="auto" w:frame="1"/>
        </w:rPr>
        <w:lastRenderedPageBreak/>
        <w:t>（三）存量个人低净值账户尽职调查程序</w:t>
      </w:r>
    </w:p>
    <w:p w:rsidR="008E5C38" w:rsidRDefault="008E5C38" w:rsidP="004771B8">
      <w:pPr>
        <w:pStyle w:val="a3"/>
        <w:shd w:val="clear" w:color="auto" w:fill="FFFFFF"/>
        <w:spacing w:before="0" w:beforeAutospacing="0" w:after="0" w:afterAutospacing="0" w:line="540" w:lineRule="atLeast"/>
        <w:ind w:leftChars="-270" w:left="-567"/>
        <w:jc w:val="center"/>
        <w:rPr>
          <w:rFonts w:ascii="微软雅黑" w:eastAsia="微软雅黑" w:hAnsi="微软雅黑"/>
          <w:color w:val="333333"/>
        </w:rPr>
      </w:pPr>
      <w:r>
        <w:rPr>
          <w:rFonts w:ascii="微软雅黑" w:eastAsia="微软雅黑" w:hAnsi="微软雅黑"/>
          <w:noProof/>
          <w:color w:val="333333"/>
        </w:rPr>
        <w:drawing>
          <wp:inline distT="0" distB="0" distL="0" distR="0">
            <wp:extent cx="6191250" cy="5048250"/>
            <wp:effectExtent l="19050" t="0" r="0" b="0"/>
            <wp:docPr id="8" name="图片 8" descr="http://www.chinatax.gov.cn/c2622201/part/262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inatax.gov.cn/c2622201/part/2622337.jpg"/>
                    <pic:cNvPicPr>
                      <a:picLocks noChangeAspect="1" noChangeArrowheads="1"/>
                    </pic:cNvPicPr>
                  </pic:nvPicPr>
                  <pic:blipFill>
                    <a:blip r:embed="rId17"/>
                    <a:srcRect/>
                    <a:stretch>
                      <a:fillRect/>
                    </a:stretch>
                  </pic:blipFill>
                  <pic:spPr bwMode="auto">
                    <a:xfrm>
                      <a:off x="0" y="0"/>
                      <a:ext cx="6191250" cy="5048250"/>
                    </a:xfrm>
                    <a:prstGeom prst="rect">
                      <a:avLst/>
                    </a:prstGeom>
                    <a:noFill/>
                    <a:ln w="9525">
                      <a:noFill/>
                      <a:miter lim="800000"/>
                      <a:headEnd/>
                      <a:tailEnd/>
                    </a:ln>
                  </pic:spPr>
                </pic:pic>
              </a:graphicData>
            </a:graphic>
          </wp:inline>
        </w:drawing>
      </w:r>
    </w:p>
    <w:p w:rsidR="004771B8" w:rsidRDefault="008E5C38" w:rsidP="008E5C38">
      <w:pPr>
        <w:pStyle w:val="a3"/>
        <w:shd w:val="clear" w:color="auto" w:fill="FFFFFF"/>
        <w:spacing w:before="0" w:beforeAutospacing="0" w:after="0" w:afterAutospacing="0" w:line="540" w:lineRule="atLeast"/>
        <w:rPr>
          <w:rStyle w:val="a4"/>
          <w:rFonts w:ascii="微软雅黑" w:eastAsia="微软雅黑" w:hAnsi="微软雅黑"/>
          <w:color w:val="333333"/>
          <w:bdr w:val="none" w:sz="0" w:space="0" w:color="auto" w:frame="1"/>
        </w:rPr>
      </w:pPr>
      <w:r>
        <w:rPr>
          <w:rStyle w:val="a4"/>
          <w:rFonts w:ascii="微软雅黑" w:eastAsia="微软雅黑" w:hAnsi="微软雅黑" w:hint="eastAsia"/>
          <w:color w:val="333333"/>
          <w:bdr w:val="none" w:sz="0" w:space="0" w:color="auto" w:frame="1"/>
        </w:rPr>
        <w:t xml:space="preserve">　　</w:t>
      </w:r>
    </w:p>
    <w:p w:rsidR="004771B8" w:rsidRDefault="004771B8">
      <w:pPr>
        <w:widowControl/>
        <w:jc w:val="left"/>
        <w:rPr>
          <w:rStyle w:val="a4"/>
          <w:rFonts w:ascii="微软雅黑" w:eastAsia="微软雅黑" w:hAnsi="微软雅黑" w:cs="宋体"/>
          <w:color w:val="333333"/>
          <w:kern w:val="0"/>
          <w:sz w:val="24"/>
          <w:szCs w:val="24"/>
          <w:bdr w:val="none" w:sz="0" w:space="0" w:color="auto" w:frame="1"/>
        </w:rPr>
      </w:pPr>
      <w:r>
        <w:rPr>
          <w:rStyle w:val="a4"/>
          <w:rFonts w:ascii="微软雅黑" w:eastAsia="微软雅黑" w:hAnsi="微软雅黑"/>
          <w:color w:val="333333"/>
          <w:bdr w:val="none" w:sz="0" w:space="0" w:color="auto" w:frame="1"/>
        </w:rPr>
        <w:br w:type="page"/>
      </w:r>
    </w:p>
    <w:p w:rsidR="008E5C38" w:rsidRDefault="008E5C38" w:rsidP="008E5C38">
      <w:pPr>
        <w:pStyle w:val="a3"/>
        <w:shd w:val="clear" w:color="auto" w:fill="FFFFFF"/>
        <w:spacing w:before="0" w:beforeAutospacing="0" w:after="0" w:afterAutospacing="0" w:line="540" w:lineRule="atLeast"/>
        <w:rPr>
          <w:rFonts w:ascii="微软雅黑" w:eastAsia="微软雅黑" w:hAnsi="微软雅黑"/>
          <w:color w:val="333333"/>
        </w:rPr>
      </w:pPr>
      <w:r>
        <w:rPr>
          <w:rStyle w:val="a4"/>
          <w:rFonts w:ascii="微软雅黑" w:eastAsia="微软雅黑" w:hAnsi="微软雅黑" w:hint="eastAsia"/>
          <w:color w:val="333333"/>
          <w:bdr w:val="none" w:sz="0" w:space="0" w:color="auto" w:frame="1"/>
        </w:rPr>
        <w:lastRenderedPageBreak/>
        <w:t>（四）新开机构账户尽职调查程序</w:t>
      </w:r>
    </w:p>
    <w:p w:rsidR="008E5C38" w:rsidRDefault="008E5C38" w:rsidP="004771B8">
      <w:pPr>
        <w:pStyle w:val="a3"/>
        <w:shd w:val="clear" w:color="auto" w:fill="FFFFFF"/>
        <w:spacing w:before="0" w:beforeAutospacing="0" w:after="0" w:afterAutospacing="0" w:line="540" w:lineRule="atLeast"/>
        <w:ind w:leftChars="-405" w:left="-850"/>
        <w:jc w:val="center"/>
        <w:rPr>
          <w:rFonts w:ascii="微软雅黑" w:eastAsia="微软雅黑" w:hAnsi="微软雅黑"/>
          <w:color w:val="333333"/>
        </w:rPr>
      </w:pPr>
      <w:r>
        <w:rPr>
          <w:rFonts w:ascii="微软雅黑" w:eastAsia="微软雅黑" w:hAnsi="微软雅黑"/>
          <w:noProof/>
          <w:color w:val="333333"/>
        </w:rPr>
        <w:drawing>
          <wp:inline distT="0" distB="0" distL="0" distR="0">
            <wp:extent cx="6472115" cy="5048250"/>
            <wp:effectExtent l="19050" t="0" r="4885" b="0"/>
            <wp:docPr id="9" name="图片 9" descr="http://www.chinatax.gov.cn/c2622201/part/262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inatax.gov.cn/c2622201/part/2622342.jpg"/>
                    <pic:cNvPicPr>
                      <a:picLocks noChangeAspect="1" noChangeArrowheads="1"/>
                    </pic:cNvPicPr>
                  </pic:nvPicPr>
                  <pic:blipFill>
                    <a:blip r:embed="rId18"/>
                    <a:srcRect/>
                    <a:stretch>
                      <a:fillRect/>
                    </a:stretch>
                  </pic:blipFill>
                  <pic:spPr bwMode="auto">
                    <a:xfrm>
                      <a:off x="0" y="0"/>
                      <a:ext cx="6479159" cy="5053745"/>
                    </a:xfrm>
                    <a:prstGeom prst="rect">
                      <a:avLst/>
                    </a:prstGeom>
                    <a:noFill/>
                    <a:ln w="9525">
                      <a:noFill/>
                      <a:miter lim="800000"/>
                      <a:headEnd/>
                      <a:tailEnd/>
                    </a:ln>
                  </pic:spPr>
                </pic:pic>
              </a:graphicData>
            </a:graphic>
          </wp:inline>
        </w:drawing>
      </w:r>
    </w:p>
    <w:p w:rsidR="008E5C38" w:rsidRDefault="008E5C38" w:rsidP="008E5C38">
      <w:pPr>
        <w:pStyle w:val="a3"/>
        <w:shd w:val="clear" w:color="auto" w:fill="FFFFFF"/>
        <w:spacing w:before="0" w:beforeAutospacing="0" w:after="0" w:afterAutospacing="0" w:line="540" w:lineRule="atLeast"/>
        <w:jc w:val="both"/>
        <w:rPr>
          <w:rFonts w:ascii="微软雅黑" w:eastAsia="微软雅黑" w:hAnsi="微软雅黑"/>
          <w:color w:val="333333"/>
        </w:rPr>
      </w:pPr>
    </w:p>
    <w:p w:rsidR="004771B8" w:rsidRDefault="008E5C38" w:rsidP="008E5C38">
      <w:pPr>
        <w:pStyle w:val="a3"/>
        <w:shd w:val="clear" w:color="auto" w:fill="FFFFFF"/>
        <w:spacing w:before="0" w:beforeAutospacing="0" w:after="0" w:afterAutospacing="0" w:line="540" w:lineRule="atLeast"/>
        <w:rPr>
          <w:rStyle w:val="a4"/>
          <w:rFonts w:ascii="微软雅黑" w:eastAsia="微软雅黑" w:hAnsi="微软雅黑"/>
          <w:color w:val="333333"/>
          <w:bdr w:val="none" w:sz="0" w:space="0" w:color="auto" w:frame="1"/>
        </w:rPr>
      </w:pPr>
      <w:r>
        <w:rPr>
          <w:rStyle w:val="a4"/>
          <w:rFonts w:ascii="微软雅黑" w:eastAsia="微软雅黑" w:hAnsi="微软雅黑" w:hint="eastAsia"/>
          <w:color w:val="333333"/>
          <w:bdr w:val="none" w:sz="0" w:space="0" w:color="auto" w:frame="1"/>
        </w:rPr>
        <w:t xml:space="preserve">　　</w:t>
      </w:r>
    </w:p>
    <w:p w:rsidR="004771B8" w:rsidRDefault="004771B8">
      <w:pPr>
        <w:widowControl/>
        <w:jc w:val="left"/>
        <w:rPr>
          <w:rStyle w:val="a4"/>
          <w:rFonts w:ascii="微软雅黑" w:eastAsia="微软雅黑" w:hAnsi="微软雅黑" w:cs="宋体"/>
          <w:color w:val="333333"/>
          <w:kern w:val="0"/>
          <w:sz w:val="24"/>
          <w:szCs w:val="24"/>
          <w:bdr w:val="none" w:sz="0" w:space="0" w:color="auto" w:frame="1"/>
        </w:rPr>
      </w:pPr>
      <w:r>
        <w:rPr>
          <w:rStyle w:val="a4"/>
          <w:rFonts w:ascii="微软雅黑" w:eastAsia="微软雅黑" w:hAnsi="微软雅黑"/>
          <w:color w:val="333333"/>
          <w:bdr w:val="none" w:sz="0" w:space="0" w:color="auto" w:frame="1"/>
        </w:rPr>
        <w:br w:type="page"/>
      </w:r>
    </w:p>
    <w:p w:rsidR="008E5C38" w:rsidRDefault="008E5C38" w:rsidP="008E5C38">
      <w:pPr>
        <w:pStyle w:val="a3"/>
        <w:shd w:val="clear" w:color="auto" w:fill="FFFFFF"/>
        <w:spacing w:before="0" w:beforeAutospacing="0" w:after="0" w:afterAutospacing="0" w:line="540" w:lineRule="atLeast"/>
        <w:rPr>
          <w:rFonts w:ascii="微软雅黑" w:eastAsia="微软雅黑" w:hAnsi="微软雅黑"/>
          <w:color w:val="333333"/>
        </w:rPr>
      </w:pPr>
      <w:r>
        <w:rPr>
          <w:rStyle w:val="a4"/>
          <w:rFonts w:ascii="微软雅黑" w:eastAsia="微软雅黑" w:hAnsi="微软雅黑" w:hint="eastAsia"/>
          <w:color w:val="333333"/>
          <w:bdr w:val="none" w:sz="0" w:space="0" w:color="auto" w:frame="1"/>
        </w:rPr>
        <w:lastRenderedPageBreak/>
        <w:t>（五）存量机构账户尽职调查程序之一识别非居民</w:t>
      </w:r>
    </w:p>
    <w:p w:rsidR="008E5C38" w:rsidRDefault="008E5C38" w:rsidP="008E5C38">
      <w:pPr>
        <w:pStyle w:val="a3"/>
        <w:shd w:val="clear" w:color="auto" w:fill="FFFFFF"/>
        <w:spacing w:before="0" w:beforeAutospacing="0" w:after="0" w:afterAutospacing="0" w:line="540" w:lineRule="atLeast"/>
        <w:jc w:val="center"/>
        <w:rPr>
          <w:rFonts w:ascii="微软雅黑" w:eastAsia="微软雅黑" w:hAnsi="微软雅黑"/>
          <w:color w:val="333333"/>
        </w:rPr>
      </w:pPr>
      <w:r>
        <w:rPr>
          <w:rFonts w:ascii="微软雅黑" w:eastAsia="微软雅黑" w:hAnsi="微软雅黑"/>
          <w:noProof/>
          <w:color w:val="333333"/>
        </w:rPr>
        <w:drawing>
          <wp:inline distT="0" distB="0" distL="0" distR="0">
            <wp:extent cx="5572125" cy="4038600"/>
            <wp:effectExtent l="19050" t="0" r="9525" b="0"/>
            <wp:docPr id="10" name="图片 10" descr="http://www.chinatax.gov.cn/c2622201/part/265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inatax.gov.cn/c2622201/part/2656791.jpg"/>
                    <pic:cNvPicPr>
                      <a:picLocks noChangeAspect="1" noChangeArrowheads="1"/>
                    </pic:cNvPicPr>
                  </pic:nvPicPr>
                  <pic:blipFill>
                    <a:blip r:embed="rId19"/>
                    <a:srcRect/>
                    <a:stretch>
                      <a:fillRect/>
                    </a:stretch>
                  </pic:blipFill>
                  <pic:spPr bwMode="auto">
                    <a:xfrm>
                      <a:off x="0" y="0"/>
                      <a:ext cx="5572125" cy="4038600"/>
                    </a:xfrm>
                    <a:prstGeom prst="rect">
                      <a:avLst/>
                    </a:prstGeom>
                    <a:noFill/>
                    <a:ln w="9525">
                      <a:noFill/>
                      <a:miter lim="800000"/>
                      <a:headEnd/>
                      <a:tailEnd/>
                    </a:ln>
                  </pic:spPr>
                </pic:pic>
              </a:graphicData>
            </a:graphic>
          </wp:inline>
        </w:drawing>
      </w:r>
    </w:p>
    <w:p w:rsidR="008E5C38" w:rsidRDefault="008E5C38" w:rsidP="008E5C38">
      <w:pPr>
        <w:pStyle w:val="a3"/>
        <w:shd w:val="clear" w:color="auto" w:fill="FFFFFF"/>
        <w:spacing w:before="0" w:beforeAutospacing="0" w:after="0" w:afterAutospacing="0" w:line="540" w:lineRule="atLeast"/>
        <w:jc w:val="both"/>
        <w:rPr>
          <w:rFonts w:ascii="微软雅黑" w:eastAsia="微软雅黑" w:hAnsi="微软雅黑"/>
          <w:color w:val="333333"/>
        </w:rPr>
      </w:pPr>
    </w:p>
    <w:p w:rsidR="004771B8" w:rsidRDefault="008E5C38" w:rsidP="008E5C38">
      <w:pPr>
        <w:pStyle w:val="a3"/>
        <w:shd w:val="clear" w:color="auto" w:fill="FFFFFF"/>
        <w:spacing w:before="0" w:beforeAutospacing="0" w:after="0" w:afterAutospacing="0" w:line="540" w:lineRule="atLeast"/>
        <w:jc w:val="both"/>
        <w:rPr>
          <w:rStyle w:val="a4"/>
          <w:rFonts w:ascii="微软雅黑" w:eastAsia="微软雅黑" w:hAnsi="微软雅黑"/>
          <w:color w:val="333333"/>
          <w:bdr w:val="none" w:sz="0" w:space="0" w:color="auto" w:frame="1"/>
        </w:rPr>
      </w:pPr>
      <w:r>
        <w:rPr>
          <w:rStyle w:val="a4"/>
          <w:rFonts w:ascii="微软雅黑" w:eastAsia="微软雅黑" w:hAnsi="微软雅黑" w:hint="eastAsia"/>
          <w:color w:val="333333"/>
          <w:bdr w:val="none" w:sz="0" w:space="0" w:color="auto" w:frame="1"/>
        </w:rPr>
        <w:t xml:space="preserve">　　</w:t>
      </w:r>
    </w:p>
    <w:p w:rsidR="004771B8" w:rsidRDefault="004771B8">
      <w:pPr>
        <w:widowControl/>
        <w:jc w:val="left"/>
        <w:rPr>
          <w:rStyle w:val="a4"/>
          <w:rFonts w:ascii="微软雅黑" w:eastAsia="微软雅黑" w:hAnsi="微软雅黑" w:cs="宋体"/>
          <w:color w:val="333333"/>
          <w:kern w:val="0"/>
          <w:sz w:val="24"/>
          <w:szCs w:val="24"/>
          <w:bdr w:val="none" w:sz="0" w:space="0" w:color="auto" w:frame="1"/>
        </w:rPr>
      </w:pPr>
      <w:r>
        <w:rPr>
          <w:rStyle w:val="a4"/>
          <w:rFonts w:ascii="微软雅黑" w:eastAsia="微软雅黑" w:hAnsi="微软雅黑"/>
          <w:color w:val="333333"/>
          <w:bdr w:val="none" w:sz="0" w:space="0" w:color="auto" w:frame="1"/>
        </w:rPr>
        <w:br w:type="page"/>
      </w:r>
    </w:p>
    <w:p w:rsidR="008E5C38" w:rsidRDefault="008E5C38" w:rsidP="008E5C38">
      <w:pPr>
        <w:pStyle w:val="a3"/>
        <w:shd w:val="clear" w:color="auto" w:fill="FFFFFF"/>
        <w:spacing w:before="0" w:beforeAutospacing="0" w:after="0" w:afterAutospacing="0" w:line="540" w:lineRule="atLeast"/>
        <w:jc w:val="both"/>
        <w:rPr>
          <w:rFonts w:ascii="微软雅黑" w:eastAsia="微软雅黑" w:hAnsi="微软雅黑"/>
          <w:color w:val="333333"/>
        </w:rPr>
      </w:pPr>
      <w:r>
        <w:rPr>
          <w:rStyle w:val="a4"/>
          <w:rFonts w:ascii="微软雅黑" w:eastAsia="微软雅黑" w:hAnsi="微软雅黑" w:hint="eastAsia"/>
          <w:color w:val="333333"/>
          <w:bdr w:val="none" w:sz="0" w:space="0" w:color="auto" w:frame="1"/>
        </w:rPr>
        <w:lastRenderedPageBreak/>
        <w:t>（六）存量机构账户尽职调查程序之二识别消极非金融机构</w:t>
      </w:r>
    </w:p>
    <w:p w:rsidR="008E5C38" w:rsidRDefault="008E5C38" w:rsidP="004771B8">
      <w:pPr>
        <w:pStyle w:val="a3"/>
        <w:shd w:val="clear" w:color="auto" w:fill="FFFFFF"/>
        <w:spacing w:before="0" w:beforeAutospacing="0" w:after="0" w:afterAutospacing="0" w:line="540" w:lineRule="atLeast"/>
        <w:ind w:leftChars="-742" w:left="-1558"/>
        <w:jc w:val="center"/>
        <w:rPr>
          <w:rFonts w:ascii="微软雅黑" w:eastAsia="微软雅黑" w:hAnsi="微软雅黑"/>
          <w:color w:val="333333"/>
        </w:rPr>
      </w:pPr>
      <w:r>
        <w:rPr>
          <w:rFonts w:ascii="微软雅黑" w:eastAsia="微软雅黑" w:hAnsi="微软雅黑"/>
          <w:noProof/>
          <w:color w:val="333333"/>
        </w:rPr>
        <w:drawing>
          <wp:inline distT="0" distB="0" distL="0" distR="0">
            <wp:extent cx="7163095" cy="4629150"/>
            <wp:effectExtent l="19050" t="0" r="0" b="0"/>
            <wp:docPr id="11" name="图片 11" descr="http://www.chinatax.gov.cn/c2622201/part/262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inatax.gov.cn/c2622201/part/2622512.jpg"/>
                    <pic:cNvPicPr>
                      <a:picLocks noChangeAspect="1" noChangeArrowheads="1"/>
                    </pic:cNvPicPr>
                  </pic:nvPicPr>
                  <pic:blipFill>
                    <a:blip r:embed="rId20"/>
                    <a:srcRect/>
                    <a:stretch>
                      <a:fillRect/>
                    </a:stretch>
                  </pic:blipFill>
                  <pic:spPr bwMode="auto">
                    <a:xfrm>
                      <a:off x="0" y="0"/>
                      <a:ext cx="7163095" cy="4629150"/>
                    </a:xfrm>
                    <a:prstGeom prst="rect">
                      <a:avLst/>
                    </a:prstGeom>
                    <a:noFill/>
                    <a:ln w="9525">
                      <a:noFill/>
                      <a:miter lim="800000"/>
                      <a:headEnd/>
                      <a:tailEnd/>
                    </a:ln>
                  </pic:spPr>
                </pic:pic>
              </a:graphicData>
            </a:graphic>
          </wp:inline>
        </w:drawing>
      </w:r>
    </w:p>
    <w:p w:rsidR="008E5C38" w:rsidRDefault="008E5C38" w:rsidP="008E5C38">
      <w:pPr>
        <w:pStyle w:val="a3"/>
        <w:shd w:val="clear" w:color="auto" w:fill="FFFFFF"/>
        <w:spacing w:before="225" w:beforeAutospacing="0" w:after="0" w:afterAutospacing="0" w:line="540" w:lineRule="atLeast"/>
        <w:jc w:val="center"/>
        <w:rPr>
          <w:rFonts w:ascii="微软雅黑" w:eastAsia="微软雅黑" w:hAnsi="微软雅黑"/>
          <w:color w:val="333333"/>
        </w:rPr>
      </w:pPr>
      <w:r>
        <w:rPr>
          <w:rFonts w:ascii="微软雅黑" w:eastAsia="微软雅黑" w:hAnsi="微软雅黑" w:hint="eastAsia"/>
          <w:color w:val="333333"/>
        </w:rPr>
        <w:t xml:space="preserve">　　</w:t>
      </w:r>
      <w:r>
        <w:rPr>
          <w:rFonts w:ascii="微软雅黑" w:eastAsia="微软雅黑" w:hAnsi="微软雅黑"/>
          <w:noProof/>
          <w:color w:val="333333"/>
        </w:rPr>
        <w:drawing>
          <wp:inline distT="0" distB="0" distL="0" distR="0">
            <wp:extent cx="5667375" cy="438150"/>
            <wp:effectExtent l="19050" t="0" r="9525" b="0"/>
            <wp:docPr id="12" name="图片 12" descr="http://www.chinatax.gov.cn/c2622201/part/262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hinatax.gov.cn/c2622201/part/2622259.jpg"/>
                    <pic:cNvPicPr>
                      <a:picLocks noChangeAspect="1" noChangeArrowheads="1"/>
                    </pic:cNvPicPr>
                  </pic:nvPicPr>
                  <pic:blipFill>
                    <a:blip r:embed="rId21"/>
                    <a:srcRect/>
                    <a:stretch>
                      <a:fillRect/>
                    </a:stretch>
                  </pic:blipFill>
                  <pic:spPr bwMode="auto">
                    <a:xfrm>
                      <a:off x="0" y="0"/>
                      <a:ext cx="5667375" cy="438150"/>
                    </a:xfrm>
                    <a:prstGeom prst="rect">
                      <a:avLst/>
                    </a:prstGeom>
                    <a:noFill/>
                    <a:ln w="9525">
                      <a:noFill/>
                      <a:miter lim="800000"/>
                      <a:headEnd/>
                      <a:tailEnd/>
                    </a:ln>
                  </pic:spPr>
                </pic:pic>
              </a:graphicData>
            </a:graphic>
          </wp:inline>
        </w:drawing>
      </w:r>
    </w:p>
    <w:p w:rsidR="008E5C38" w:rsidRDefault="008E5C38" w:rsidP="008E5C38">
      <w:pPr>
        <w:pStyle w:val="a3"/>
        <w:shd w:val="clear" w:color="auto" w:fill="FFFFFF"/>
        <w:spacing w:before="0" w:beforeAutospacing="0" w:after="0" w:afterAutospacing="0" w:line="540" w:lineRule="atLeast"/>
        <w:rPr>
          <w:rFonts w:ascii="微软雅黑" w:eastAsia="微软雅黑" w:hAnsi="微软雅黑"/>
          <w:color w:val="333333"/>
        </w:rPr>
      </w:pPr>
      <w:r>
        <w:rPr>
          <w:rFonts w:ascii="微软雅黑" w:eastAsia="微软雅黑" w:hAnsi="微软雅黑" w:hint="eastAsia"/>
          <w:color w:val="333333"/>
        </w:rPr>
        <w:t xml:space="preserve">　　金融机构应当汇总报送境内分支机构的下列非居民账户信息，并注明报送信息的金融机构名称、地址以及纳税人识别号：</w:t>
      </w:r>
      <w:r>
        <w:rPr>
          <w:rFonts w:ascii="微软雅黑" w:eastAsia="微软雅黑" w:hAnsi="微软雅黑" w:hint="eastAsia"/>
          <w:color w:val="333333"/>
        </w:rPr>
        <w:br/>
        <w:t xml:space="preserve">　　（一）个人账户持有人的姓名、现居地址、税收居民国（地区）、居民国（地区）纳税人识别号、出生地、出生日期；机构账户持有人的名称、地址、税收居民国（地区）、居民国（地区）纳税人识别号；机构账户持有人是有非居民控制人的消极非金融机构的，还应当报送非居民控制人的姓名、现居地址、税收居民</w:t>
      </w:r>
      <w:r>
        <w:rPr>
          <w:rFonts w:ascii="微软雅黑" w:eastAsia="微软雅黑" w:hAnsi="微软雅黑" w:hint="eastAsia"/>
          <w:color w:val="333333"/>
        </w:rPr>
        <w:lastRenderedPageBreak/>
        <w:t>国（地区）、居民国（地区）纳税人识别号、出生地、出生日期。</w:t>
      </w:r>
      <w:r>
        <w:rPr>
          <w:rFonts w:ascii="微软雅黑" w:eastAsia="微软雅黑" w:hAnsi="微软雅黑" w:hint="eastAsia"/>
          <w:color w:val="333333"/>
        </w:rPr>
        <w:br/>
        <w:t xml:space="preserve">　　（二）账号或者类似信息。</w:t>
      </w:r>
      <w:r>
        <w:rPr>
          <w:rFonts w:ascii="微软雅黑" w:eastAsia="微软雅黑" w:hAnsi="微软雅黑" w:hint="eastAsia"/>
          <w:color w:val="333333"/>
        </w:rPr>
        <w:br/>
        <w:t xml:space="preserve">　　（三）公历年度年末单个非居民账户的余额或者净值（包括具有现金价值的保险合同或者年金合同的现金价值或者退保价值）。账户在本年度内注销的，余额为零，同时应当注明账户已注销。</w:t>
      </w:r>
      <w:r>
        <w:rPr>
          <w:rFonts w:ascii="微软雅黑" w:eastAsia="微软雅黑" w:hAnsi="微软雅黑" w:hint="eastAsia"/>
          <w:color w:val="333333"/>
        </w:rPr>
        <w:br/>
        <w:t xml:space="preserve">　　（四）存款账户，报送公历年度内收到或者计入该账户的利息总额。</w:t>
      </w:r>
      <w:r>
        <w:rPr>
          <w:rFonts w:ascii="微软雅黑" w:eastAsia="微软雅黑" w:hAnsi="微软雅黑" w:hint="eastAsia"/>
          <w:color w:val="333333"/>
        </w:rPr>
        <w:br/>
        <w:t xml:space="preserve">　　（五）托管账户，报送公历年度内收到或者计入该账户的利息总额、股息总额以及其他由于被托管资产而收到或者计入该账户的收入总额。报送信息的金融机构为代理人、中间人或者名义持有人的，报送因销售或者赎回金融资产而收到或者计入该托管账户的收入总额。</w:t>
      </w:r>
      <w:r>
        <w:rPr>
          <w:rFonts w:ascii="微软雅黑" w:eastAsia="微软雅黑" w:hAnsi="微软雅黑" w:hint="eastAsia"/>
          <w:color w:val="333333"/>
        </w:rPr>
        <w:br/>
        <w:t xml:space="preserve">　　（六）其他账户，报送公历年度内收到或者计入该账户的收入总额，包括赎回款项的总额。</w:t>
      </w:r>
      <w:r>
        <w:rPr>
          <w:rFonts w:ascii="微软雅黑" w:eastAsia="微软雅黑" w:hAnsi="微软雅黑" w:hint="eastAsia"/>
          <w:color w:val="333333"/>
        </w:rPr>
        <w:br/>
        <w:t xml:space="preserve">　　（七）国家税务总局要求报送的其他信息。</w:t>
      </w:r>
      <w:r>
        <w:rPr>
          <w:rFonts w:ascii="微软雅黑" w:eastAsia="微软雅黑" w:hAnsi="微软雅黑" w:hint="eastAsia"/>
          <w:color w:val="333333"/>
        </w:rPr>
        <w:br/>
        <w:t xml:space="preserve">　　上述报送信息中涉及金额的，应当按原币种报送并且标注原币种名称。</w:t>
      </w:r>
      <w:r>
        <w:rPr>
          <w:rFonts w:ascii="微软雅黑" w:eastAsia="微软雅黑" w:hAnsi="微软雅黑" w:hint="eastAsia"/>
          <w:color w:val="333333"/>
        </w:rPr>
        <w:br/>
        <w:t xml:space="preserve">　　对于存量账户，金融机构现有客户资料中没有居民国（地区）纳税人识别号、出生日期或者出生地信息的，无需报送上述信息。但是，金融机构应当在上述账户被认定为非居民账户的次年年底前，积极采取措施，获取上述信息。</w:t>
      </w:r>
      <w:r>
        <w:rPr>
          <w:rFonts w:ascii="微软雅黑" w:eastAsia="微软雅黑" w:hAnsi="微软雅黑" w:hint="eastAsia"/>
          <w:color w:val="333333"/>
        </w:rPr>
        <w:br/>
        <w:t xml:space="preserve">　　非居民账户持有人无税收居民国（地区）纳税人识别号的，金融机构无需收集并报送纳税人识别号信息。</w:t>
      </w:r>
    </w:p>
    <w:p w:rsidR="00C076AC" w:rsidRPr="008E5C38" w:rsidRDefault="00C076AC"/>
    <w:sectPr w:rsidR="00C076AC" w:rsidRPr="008E5C38" w:rsidSect="00C076AC">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6BC8" w:rsidRDefault="00606BC8" w:rsidP="004771B8">
      <w:r>
        <w:separator/>
      </w:r>
    </w:p>
  </w:endnote>
  <w:endnote w:type="continuationSeparator" w:id="1">
    <w:p w:rsidR="00606BC8" w:rsidRDefault="00606BC8" w:rsidP="004771B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54108"/>
      <w:docPartObj>
        <w:docPartGallery w:val="Page Numbers (Bottom of Page)"/>
        <w:docPartUnique/>
      </w:docPartObj>
    </w:sdtPr>
    <w:sdtContent>
      <w:p w:rsidR="004771B8" w:rsidRDefault="00EA550E">
        <w:pPr>
          <w:pStyle w:val="a8"/>
          <w:jc w:val="center"/>
        </w:pPr>
        <w:fldSimple w:instr=" PAGE   \* MERGEFORMAT ">
          <w:r w:rsidR="003541D5" w:rsidRPr="003541D5">
            <w:rPr>
              <w:noProof/>
              <w:lang w:val="zh-CN"/>
            </w:rPr>
            <w:t>3</w:t>
          </w:r>
        </w:fldSimple>
      </w:p>
    </w:sdtContent>
  </w:sdt>
  <w:p w:rsidR="004771B8" w:rsidRDefault="004771B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6BC8" w:rsidRDefault="00606BC8" w:rsidP="004771B8">
      <w:r>
        <w:separator/>
      </w:r>
    </w:p>
  </w:footnote>
  <w:footnote w:type="continuationSeparator" w:id="1">
    <w:p w:rsidR="00606BC8" w:rsidRDefault="00606BC8" w:rsidP="004771B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E5C38"/>
    <w:rsid w:val="000252CD"/>
    <w:rsid w:val="00043953"/>
    <w:rsid w:val="000E3794"/>
    <w:rsid w:val="001730B4"/>
    <w:rsid w:val="0018680A"/>
    <w:rsid w:val="001958A7"/>
    <w:rsid w:val="001B6206"/>
    <w:rsid w:val="001B7D78"/>
    <w:rsid w:val="001D01BD"/>
    <w:rsid w:val="001F3921"/>
    <w:rsid w:val="00271FAE"/>
    <w:rsid w:val="002C2E0C"/>
    <w:rsid w:val="002E12D3"/>
    <w:rsid w:val="003324C4"/>
    <w:rsid w:val="003541D5"/>
    <w:rsid w:val="004612CE"/>
    <w:rsid w:val="004771B8"/>
    <w:rsid w:val="00487AA8"/>
    <w:rsid w:val="005B3602"/>
    <w:rsid w:val="005D3918"/>
    <w:rsid w:val="005E3FF2"/>
    <w:rsid w:val="00606BC8"/>
    <w:rsid w:val="00627139"/>
    <w:rsid w:val="006358F0"/>
    <w:rsid w:val="00660692"/>
    <w:rsid w:val="0066144D"/>
    <w:rsid w:val="007C38D6"/>
    <w:rsid w:val="00826617"/>
    <w:rsid w:val="008D0D44"/>
    <w:rsid w:val="008D2E58"/>
    <w:rsid w:val="008E5C38"/>
    <w:rsid w:val="00951093"/>
    <w:rsid w:val="009550CB"/>
    <w:rsid w:val="009939B3"/>
    <w:rsid w:val="009A3628"/>
    <w:rsid w:val="009F496F"/>
    <w:rsid w:val="00B11EDF"/>
    <w:rsid w:val="00B55094"/>
    <w:rsid w:val="00B86781"/>
    <w:rsid w:val="00C076AC"/>
    <w:rsid w:val="00C639F4"/>
    <w:rsid w:val="00C862AE"/>
    <w:rsid w:val="00D1765A"/>
    <w:rsid w:val="00E6339A"/>
    <w:rsid w:val="00E753C6"/>
    <w:rsid w:val="00E978C1"/>
    <w:rsid w:val="00EA550E"/>
    <w:rsid w:val="00ED300D"/>
    <w:rsid w:val="00ED5BC1"/>
    <w:rsid w:val="00F01904"/>
    <w:rsid w:val="00F03C33"/>
    <w:rsid w:val="00F102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6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E5C38"/>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E5C38"/>
    <w:rPr>
      <w:b/>
      <w:bCs/>
    </w:rPr>
  </w:style>
  <w:style w:type="character" w:styleId="a5">
    <w:name w:val="Hyperlink"/>
    <w:basedOn w:val="a0"/>
    <w:uiPriority w:val="99"/>
    <w:semiHidden/>
    <w:unhideWhenUsed/>
    <w:rsid w:val="008E5C38"/>
    <w:rPr>
      <w:color w:val="0000FF"/>
      <w:u w:val="single"/>
    </w:rPr>
  </w:style>
  <w:style w:type="character" w:customStyle="1" w:styleId="apple-converted-space">
    <w:name w:val="apple-converted-space"/>
    <w:basedOn w:val="a0"/>
    <w:rsid w:val="008E5C38"/>
  </w:style>
  <w:style w:type="paragraph" w:styleId="a6">
    <w:name w:val="Balloon Text"/>
    <w:basedOn w:val="a"/>
    <w:link w:val="Char"/>
    <w:uiPriority w:val="99"/>
    <w:semiHidden/>
    <w:unhideWhenUsed/>
    <w:rsid w:val="008E5C38"/>
    <w:rPr>
      <w:sz w:val="18"/>
      <w:szCs w:val="18"/>
    </w:rPr>
  </w:style>
  <w:style w:type="character" w:customStyle="1" w:styleId="Char">
    <w:name w:val="批注框文本 Char"/>
    <w:basedOn w:val="a0"/>
    <w:link w:val="a6"/>
    <w:uiPriority w:val="99"/>
    <w:semiHidden/>
    <w:rsid w:val="008E5C38"/>
    <w:rPr>
      <w:sz w:val="18"/>
      <w:szCs w:val="18"/>
    </w:rPr>
  </w:style>
  <w:style w:type="paragraph" w:styleId="a7">
    <w:name w:val="header"/>
    <w:basedOn w:val="a"/>
    <w:link w:val="Char0"/>
    <w:uiPriority w:val="99"/>
    <w:semiHidden/>
    <w:unhideWhenUsed/>
    <w:rsid w:val="004771B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4771B8"/>
    <w:rPr>
      <w:sz w:val="18"/>
      <w:szCs w:val="18"/>
    </w:rPr>
  </w:style>
  <w:style w:type="paragraph" w:styleId="a8">
    <w:name w:val="footer"/>
    <w:basedOn w:val="a"/>
    <w:link w:val="Char1"/>
    <w:uiPriority w:val="99"/>
    <w:unhideWhenUsed/>
    <w:rsid w:val="004771B8"/>
    <w:pPr>
      <w:tabs>
        <w:tab w:val="center" w:pos="4153"/>
        <w:tab w:val="right" w:pos="8306"/>
      </w:tabs>
      <w:snapToGrid w:val="0"/>
      <w:jc w:val="left"/>
    </w:pPr>
    <w:rPr>
      <w:sz w:val="18"/>
      <w:szCs w:val="18"/>
    </w:rPr>
  </w:style>
  <w:style w:type="character" w:customStyle="1" w:styleId="Char1">
    <w:name w:val="页脚 Char"/>
    <w:basedOn w:val="a0"/>
    <w:link w:val="a8"/>
    <w:uiPriority w:val="99"/>
    <w:rsid w:val="004771B8"/>
    <w:rPr>
      <w:sz w:val="18"/>
      <w:szCs w:val="18"/>
    </w:rPr>
  </w:style>
</w:styles>
</file>

<file path=word/webSettings.xml><?xml version="1.0" encoding="utf-8"?>
<w:webSettings xmlns:r="http://schemas.openxmlformats.org/officeDocument/2006/relationships" xmlns:w="http://schemas.openxmlformats.org/wordprocessingml/2006/main">
  <w:divs>
    <w:div w:id="85550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www.oecd.org/ctp/exchange-of-tax-information/standard-for-automatic-exchange-of-financial-account-information-for-tax-matters-9789264216525-en.htm" TargetMode="External"/><Relationship Id="rId11" Type="http://schemas.openxmlformats.org/officeDocument/2006/relationships/hyperlink" Target="http://www.chinatax.gov.cn/n810341/n810755/c2623078/content.html"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chinatax.gov.cn/n810341/n810770/c2620245/content.html" TargetMode="Externa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www.chinatax.gov.cn/n810341/n810770/c1152827/content.html"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484</Words>
  <Characters>2760</Characters>
  <Application>Microsoft Office Word</Application>
  <DocSecurity>0</DocSecurity>
  <Lines>23</Lines>
  <Paragraphs>6</Paragraphs>
  <ScaleCrop>false</ScaleCrop>
  <Company/>
  <LinksUpToDate>false</LinksUpToDate>
  <CharactersWithSpaces>3238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2017-06-26T01:34:00Z</dcterms:created>
  <dcterms:modified xsi:type="dcterms:W3CDTF">2017-06-28T06:13:00Z</dcterms:modified>
</cp:coreProperties>
</file>