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98" w:rsidRPr="0092098C" w:rsidRDefault="00E9272C" w:rsidP="003167BE">
      <w:pPr>
        <w:pStyle w:val="3"/>
        <w:keepNext w:val="0"/>
        <w:keepLines w:val="0"/>
        <w:spacing w:before="0" w:after="0" w:line="240" w:lineRule="auto"/>
        <w:jc w:val="center"/>
        <w:rPr>
          <w:rFonts w:ascii="宋体"/>
          <w:color w:val="000000"/>
        </w:rPr>
      </w:pPr>
      <w:r w:rsidRPr="0092098C">
        <w:rPr>
          <w:rFonts w:ascii="宋体" w:hAnsi="宋体" w:cs="宋体" w:hint="eastAsia"/>
        </w:rPr>
        <w:t>《</w:t>
      </w:r>
      <w:r w:rsidR="008A729C" w:rsidRPr="008A729C">
        <w:rPr>
          <w:rFonts w:ascii="宋体" w:hint="eastAsia"/>
        </w:rPr>
        <w:t>海通证券股份有限公司</w:t>
      </w:r>
      <w:r w:rsidR="001A1692" w:rsidRPr="001A1692">
        <w:rPr>
          <w:rFonts w:ascii="宋体" w:hint="eastAsia"/>
        </w:rPr>
        <w:t>转融通证券出借交易代理协议书</w:t>
      </w:r>
      <w:r w:rsidRPr="0092098C">
        <w:rPr>
          <w:rFonts w:ascii="宋体" w:hint="eastAsia"/>
          <w:color w:val="000000"/>
        </w:rPr>
        <w:t>》修订对照表</w:t>
      </w:r>
    </w:p>
    <w:p w:rsidR="006C6D70" w:rsidRPr="0092098C" w:rsidRDefault="006C6D70" w:rsidP="003167BE">
      <w:r w:rsidRPr="0092098C">
        <w:rPr>
          <w:rFonts w:ascii="宋体" w:hint="eastAsia"/>
        </w:rPr>
        <w:t>注：本对照表仅供参考，相关内容以正式合同文本为准。</w:t>
      </w:r>
      <w:r w:rsidR="001567C7" w:rsidRPr="0092098C">
        <w:rPr>
          <w:rFonts w:ascii="宋体" w:hint="eastAsia"/>
        </w:rPr>
        <w:t>下表左列下划线标注内容为删除的内容，右列中黑体字部分为新增内容。</w:t>
      </w:r>
    </w:p>
    <w:tbl>
      <w:tblPr>
        <w:tblStyle w:val="a3"/>
        <w:tblW w:w="16019" w:type="dxa"/>
        <w:jc w:val="center"/>
        <w:tblLayout w:type="fixed"/>
        <w:tblLook w:val="04A0"/>
      </w:tblPr>
      <w:tblGrid>
        <w:gridCol w:w="7089"/>
        <w:gridCol w:w="7087"/>
        <w:gridCol w:w="1843"/>
      </w:tblGrid>
      <w:tr w:rsidR="00862049" w:rsidRPr="0092098C" w:rsidTr="003B1405">
        <w:trPr>
          <w:jc w:val="center"/>
        </w:trPr>
        <w:tc>
          <w:tcPr>
            <w:tcW w:w="7089"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原稿</w:t>
            </w:r>
          </w:p>
        </w:tc>
        <w:tc>
          <w:tcPr>
            <w:tcW w:w="7087"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修订稿</w:t>
            </w:r>
          </w:p>
        </w:tc>
        <w:tc>
          <w:tcPr>
            <w:tcW w:w="1843"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修订说明</w:t>
            </w:r>
          </w:p>
        </w:tc>
      </w:tr>
      <w:tr w:rsidR="00862049" w:rsidRPr="0092098C" w:rsidTr="003B1405">
        <w:trPr>
          <w:trHeight w:val="438"/>
          <w:jc w:val="center"/>
        </w:trPr>
        <w:tc>
          <w:tcPr>
            <w:tcW w:w="7089" w:type="dxa"/>
            <w:vAlign w:val="center"/>
          </w:tcPr>
          <w:p w:rsidR="00B84598" w:rsidRPr="008A729C" w:rsidRDefault="008A729C" w:rsidP="001A1692">
            <w:pPr>
              <w:pStyle w:val="3"/>
              <w:keepNext w:val="0"/>
              <w:keepLines w:val="0"/>
              <w:spacing w:before="0" w:after="0" w:line="320" w:lineRule="exact"/>
              <w:jc w:val="center"/>
              <w:outlineLvl w:val="2"/>
              <w:rPr>
                <w:rFonts w:ascii="宋体"/>
                <w:b w:val="0"/>
                <w:sz w:val="18"/>
                <w:szCs w:val="18"/>
              </w:rPr>
            </w:pPr>
            <w:r w:rsidRPr="008A729C">
              <w:rPr>
                <w:rFonts w:ascii="宋体" w:hAnsi="宋体" w:hint="eastAsia"/>
                <w:b w:val="0"/>
                <w:color w:val="000000"/>
                <w:sz w:val="18"/>
                <w:szCs w:val="18"/>
              </w:rPr>
              <w:t>NO：</w:t>
            </w:r>
            <w:r w:rsidR="001A1692">
              <w:rPr>
                <w:rFonts w:ascii="宋体" w:hAnsi="宋体" w:hint="eastAsia"/>
                <w:b w:val="0"/>
                <w:color w:val="000000"/>
                <w:sz w:val="18"/>
                <w:szCs w:val="18"/>
              </w:rPr>
              <w:t>A-</w:t>
            </w:r>
          </w:p>
        </w:tc>
        <w:tc>
          <w:tcPr>
            <w:tcW w:w="7087" w:type="dxa"/>
            <w:vAlign w:val="center"/>
          </w:tcPr>
          <w:p w:rsidR="00B84598" w:rsidRPr="00DC5195" w:rsidRDefault="008A729C" w:rsidP="001A1692">
            <w:pPr>
              <w:pStyle w:val="3"/>
              <w:keepNext w:val="0"/>
              <w:keepLines w:val="0"/>
              <w:spacing w:before="0" w:after="0" w:line="320" w:lineRule="exact"/>
              <w:jc w:val="center"/>
              <w:outlineLvl w:val="2"/>
              <w:rPr>
                <w:rFonts w:ascii="宋体"/>
                <w:b w:val="0"/>
                <w:sz w:val="18"/>
                <w:szCs w:val="18"/>
              </w:rPr>
            </w:pPr>
            <w:r w:rsidRPr="008A729C">
              <w:rPr>
                <w:rFonts w:ascii="宋体" w:hAnsi="宋体" w:cs="宋体" w:hint="eastAsia"/>
                <w:b w:val="0"/>
                <w:sz w:val="18"/>
                <w:szCs w:val="18"/>
              </w:rPr>
              <w:t>NO：</w:t>
            </w:r>
            <w:r w:rsidR="001A1692">
              <w:rPr>
                <w:rFonts w:ascii="宋体" w:hAnsi="宋体" w:cs="宋体" w:hint="eastAsia"/>
                <w:sz w:val="18"/>
                <w:szCs w:val="18"/>
              </w:rPr>
              <w:t>B</w:t>
            </w:r>
            <w:r w:rsidRPr="008A729C">
              <w:rPr>
                <w:rFonts w:ascii="宋体" w:hAnsi="宋体" w:cs="宋体" w:hint="eastAsia"/>
                <w:sz w:val="18"/>
                <w:szCs w:val="18"/>
              </w:rPr>
              <w:t>-</w:t>
            </w:r>
          </w:p>
        </w:tc>
        <w:tc>
          <w:tcPr>
            <w:tcW w:w="1843" w:type="dxa"/>
          </w:tcPr>
          <w:p w:rsidR="00B84598" w:rsidRPr="005415B8" w:rsidRDefault="005415B8" w:rsidP="00426DCD">
            <w:pPr>
              <w:pStyle w:val="3"/>
              <w:keepNext w:val="0"/>
              <w:keepLines w:val="0"/>
              <w:spacing w:before="0" w:after="0" w:line="320" w:lineRule="exact"/>
              <w:jc w:val="left"/>
              <w:outlineLvl w:val="2"/>
              <w:rPr>
                <w:rFonts w:ascii="宋体"/>
                <w:sz w:val="21"/>
                <w:szCs w:val="21"/>
              </w:rPr>
            </w:pPr>
            <w:r w:rsidRPr="005415B8">
              <w:rPr>
                <w:rFonts w:ascii="宋体" w:hint="eastAsia"/>
                <w:sz w:val="21"/>
                <w:szCs w:val="21"/>
              </w:rPr>
              <w:t>A版修订为B版</w:t>
            </w:r>
          </w:p>
        </w:tc>
      </w:tr>
      <w:tr w:rsidR="007E6004" w:rsidRPr="0092098C" w:rsidTr="003B1405">
        <w:trPr>
          <w:jc w:val="center"/>
        </w:trPr>
        <w:tc>
          <w:tcPr>
            <w:tcW w:w="7089" w:type="dxa"/>
          </w:tcPr>
          <w:p w:rsidR="007E6004" w:rsidRPr="000C7861" w:rsidRDefault="001A1692" w:rsidP="007E6004">
            <w:pPr>
              <w:adjustRightInd w:val="0"/>
              <w:snapToGrid w:val="0"/>
              <w:jc w:val="center"/>
              <w:rPr>
                <w:rFonts w:ascii="宋体"/>
                <w:b/>
                <w:sz w:val="32"/>
                <w:szCs w:val="32"/>
              </w:rPr>
            </w:pPr>
            <w:r w:rsidRPr="001A1692">
              <w:rPr>
                <w:rFonts w:ascii="宋体" w:hAnsi="宋体" w:hint="eastAsia"/>
                <w:b/>
                <w:bCs/>
                <w:sz w:val="32"/>
                <w:szCs w:val="32"/>
              </w:rPr>
              <w:t>转融通证券出借交易风险揭示书</w:t>
            </w:r>
          </w:p>
        </w:tc>
        <w:tc>
          <w:tcPr>
            <w:tcW w:w="7087" w:type="dxa"/>
          </w:tcPr>
          <w:p w:rsidR="007E6004" w:rsidRPr="001A1692" w:rsidRDefault="001A1692" w:rsidP="00E7759A">
            <w:pPr>
              <w:adjustRightInd w:val="0"/>
              <w:snapToGrid w:val="0"/>
              <w:jc w:val="center"/>
              <w:rPr>
                <w:rFonts w:ascii="宋体"/>
                <w:b/>
                <w:sz w:val="32"/>
                <w:szCs w:val="32"/>
              </w:rPr>
            </w:pPr>
            <w:r w:rsidRPr="001A1692">
              <w:rPr>
                <w:rFonts w:ascii="宋体" w:hAnsi="宋体" w:hint="eastAsia"/>
                <w:b/>
                <w:bCs/>
                <w:sz w:val="32"/>
                <w:szCs w:val="32"/>
              </w:rPr>
              <w:t>转融通证券出借交易风险揭示书</w:t>
            </w:r>
          </w:p>
        </w:tc>
        <w:tc>
          <w:tcPr>
            <w:tcW w:w="1843" w:type="dxa"/>
          </w:tcPr>
          <w:p w:rsidR="007E6004" w:rsidRPr="0092098C" w:rsidRDefault="007E6004" w:rsidP="001B3FBB">
            <w:pPr>
              <w:pStyle w:val="3"/>
              <w:keepNext w:val="0"/>
              <w:keepLines w:val="0"/>
              <w:spacing w:before="0" w:after="0" w:line="320" w:lineRule="exact"/>
              <w:jc w:val="left"/>
              <w:outlineLvl w:val="2"/>
              <w:rPr>
                <w:rFonts w:asciiTheme="minorEastAsia" w:eastAsiaTheme="minorEastAsia" w:hAnsiTheme="minorEastAsia"/>
                <w:sz w:val="21"/>
                <w:szCs w:val="21"/>
              </w:rPr>
            </w:pPr>
          </w:p>
        </w:tc>
      </w:tr>
      <w:tr w:rsidR="001A1692" w:rsidRPr="0092098C" w:rsidTr="003B1405">
        <w:trPr>
          <w:jc w:val="center"/>
        </w:trPr>
        <w:tc>
          <w:tcPr>
            <w:tcW w:w="7089" w:type="dxa"/>
          </w:tcPr>
          <w:p w:rsidR="001A1692" w:rsidRDefault="001A1692" w:rsidP="001A1692">
            <w:pPr>
              <w:adjustRightInd w:val="0"/>
              <w:snapToGrid w:val="0"/>
              <w:jc w:val="left"/>
              <w:rPr>
                <w:rFonts w:ascii="宋体" w:hAnsi="宋体"/>
                <w:bCs/>
                <w:sz w:val="18"/>
                <w:szCs w:val="18"/>
              </w:rPr>
            </w:pPr>
            <w:r w:rsidRPr="001A1692">
              <w:rPr>
                <w:rFonts w:ascii="宋体" w:hAnsi="宋体" w:hint="eastAsia"/>
                <w:bCs/>
                <w:sz w:val="18"/>
                <w:szCs w:val="18"/>
              </w:rPr>
              <w:t>特别提示：</w:t>
            </w:r>
          </w:p>
          <w:p w:rsidR="001A1692" w:rsidRPr="001A1692" w:rsidRDefault="001A1692" w:rsidP="001A1692">
            <w:pPr>
              <w:adjustRightInd w:val="0"/>
              <w:snapToGrid w:val="0"/>
              <w:jc w:val="left"/>
              <w:rPr>
                <w:rFonts w:ascii="宋体" w:hAnsi="宋体"/>
                <w:bCs/>
                <w:sz w:val="18"/>
                <w:szCs w:val="18"/>
              </w:rPr>
            </w:pPr>
            <w:r>
              <w:rPr>
                <w:rFonts w:ascii="宋体" w:hAnsi="宋体" w:hint="eastAsia"/>
                <w:bCs/>
                <w:sz w:val="18"/>
                <w:szCs w:val="18"/>
              </w:rPr>
              <w:t>……</w:t>
            </w:r>
          </w:p>
          <w:p w:rsidR="001A1692" w:rsidRPr="001A1692" w:rsidRDefault="001A1692" w:rsidP="001A1692">
            <w:pPr>
              <w:adjustRightInd w:val="0"/>
              <w:snapToGrid w:val="0"/>
              <w:jc w:val="left"/>
              <w:rPr>
                <w:rFonts w:ascii="宋体" w:hAnsi="宋体"/>
                <w:bCs/>
                <w:sz w:val="18"/>
                <w:szCs w:val="18"/>
              </w:rPr>
            </w:pPr>
          </w:p>
        </w:tc>
        <w:tc>
          <w:tcPr>
            <w:tcW w:w="7087" w:type="dxa"/>
          </w:tcPr>
          <w:p w:rsidR="001A1692" w:rsidRDefault="001A1692" w:rsidP="001A1692">
            <w:pPr>
              <w:adjustRightInd w:val="0"/>
              <w:snapToGrid w:val="0"/>
              <w:jc w:val="left"/>
              <w:rPr>
                <w:rFonts w:ascii="宋体" w:hAnsi="宋体"/>
                <w:bCs/>
                <w:sz w:val="18"/>
                <w:szCs w:val="18"/>
              </w:rPr>
            </w:pPr>
            <w:r>
              <w:rPr>
                <w:rFonts w:ascii="宋体" w:hAnsi="宋体" w:hint="eastAsia"/>
                <w:bCs/>
                <w:sz w:val="18"/>
                <w:szCs w:val="18"/>
              </w:rPr>
              <w:t>特别提示：</w:t>
            </w:r>
          </w:p>
          <w:p w:rsidR="001A1692" w:rsidRPr="001A1692" w:rsidRDefault="001A1692" w:rsidP="001A1692">
            <w:pPr>
              <w:adjustRightInd w:val="0"/>
              <w:snapToGrid w:val="0"/>
              <w:jc w:val="left"/>
              <w:rPr>
                <w:rFonts w:ascii="宋体" w:hAnsi="宋体"/>
                <w:bCs/>
                <w:sz w:val="18"/>
                <w:szCs w:val="18"/>
              </w:rPr>
            </w:pPr>
            <w:r>
              <w:rPr>
                <w:rFonts w:ascii="宋体" w:hAnsi="宋体" w:hint="eastAsia"/>
                <w:bCs/>
                <w:sz w:val="18"/>
                <w:szCs w:val="18"/>
              </w:rPr>
              <w:t>……</w:t>
            </w:r>
          </w:p>
          <w:p w:rsidR="001A1692" w:rsidRDefault="001A1692" w:rsidP="001A1692">
            <w:pPr>
              <w:adjustRightInd w:val="0"/>
              <w:snapToGrid w:val="0"/>
              <w:jc w:val="left"/>
              <w:rPr>
                <w:rFonts w:ascii="宋体" w:hAnsi="宋体"/>
                <w:b/>
                <w:bCs/>
                <w:sz w:val="18"/>
                <w:szCs w:val="18"/>
              </w:rPr>
            </w:pPr>
            <w:r w:rsidRPr="001A1692">
              <w:rPr>
                <w:rFonts w:ascii="宋体" w:hAnsi="宋体" w:hint="eastAsia"/>
                <w:b/>
                <w:bCs/>
                <w:sz w:val="18"/>
                <w:szCs w:val="18"/>
              </w:rPr>
              <w:t>五、您开展证券出借交易期间，不满足监管机构或我公司适当性管理要求的，本公司有权拒绝为您提供证券出借代理交易服务。</w:t>
            </w:r>
          </w:p>
          <w:p w:rsidR="00660EA4" w:rsidRPr="001A1692" w:rsidRDefault="00660EA4" w:rsidP="001A1692">
            <w:pPr>
              <w:adjustRightInd w:val="0"/>
              <w:snapToGrid w:val="0"/>
              <w:jc w:val="left"/>
              <w:rPr>
                <w:rFonts w:ascii="宋体" w:hAnsi="宋体"/>
                <w:b/>
                <w:bCs/>
                <w:sz w:val="18"/>
                <w:szCs w:val="18"/>
              </w:rPr>
            </w:pPr>
          </w:p>
        </w:tc>
        <w:tc>
          <w:tcPr>
            <w:tcW w:w="1843" w:type="dxa"/>
          </w:tcPr>
          <w:p w:rsidR="001A1692" w:rsidRPr="0092098C" w:rsidRDefault="005415B8" w:rsidP="00E03DD5">
            <w:pPr>
              <w:pStyle w:val="3"/>
              <w:keepNext w:val="0"/>
              <w:keepLines w:val="0"/>
              <w:spacing w:before="0" w:after="0" w:line="240" w:lineRule="auto"/>
              <w:jc w:val="left"/>
              <w:outlineLvl w:val="2"/>
              <w:rPr>
                <w:rFonts w:asciiTheme="minorEastAsia" w:eastAsiaTheme="minorEastAsia" w:hAnsiTheme="minorEastAsia"/>
                <w:sz w:val="21"/>
                <w:szCs w:val="21"/>
              </w:rPr>
            </w:pPr>
            <w:r w:rsidRPr="00E03DD5">
              <w:rPr>
                <w:rFonts w:ascii="宋体" w:hAnsi="宋体" w:cs="Calibri" w:hint="eastAsia"/>
                <w:sz w:val="18"/>
                <w:szCs w:val="18"/>
              </w:rPr>
              <w:t>本条新增。</w:t>
            </w:r>
            <w:r w:rsidR="00156AF3" w:rsidRPr="00E03DD5">
              <w:rPr>
                <w:rFonts w:ascii="宋体" w:hAnsi="宋体" w:cs="Calibri" w:hint="eastAsia"/>
                <w:sz w:val="18"/>
                <w:szCs w:val="18"/>
              </w:rPr>
              <w:t>增加适当性管理方面的要求</w:t>
            </w:r>
            <w:r w:rsidRPr="00E03DD5">
              <w:rPr>
                <w:rFonts w:ascii="宋体" w:hAnsi="宋体" w:cs="Calibri" w:hint="eastAsia"/>
                <w:sz w:val="18"/>
                <w:szCs w:val="18"/>
              </w:rPr>
              <w:t>。</w:t>
            </w:r>
          </w:p>
        </w:tc>
      </w:tr>
      <w:tr w:rsidR="00E54A52" w:rsidRPr="0092098C" w:rsidTr="003B1405">
        <w:trPr>
          <w:jc w:val="center"/>
        </w:trPr>
        <w:tc>
          <w:tcPr>
            <w:tcW w:w="7089" w:type="dxa"/>
          </w:tcPr>
          <w:p w:rsidR="00E54A52" w:rsidRPr="001A1692" w:rsidRDefault="00E54A52" w:rsidP="001A1692">
            <w:pPr>
              <w:adjustRightInd w:val="0"/>
              <w:snapToGrid w:val="0"/>
              <w:jc w:val="left"/>
              <w:rPr>
                <w:rFonts w:ascii="宋体" w:hAnsi="宋体"/>
                <w:bCs/>
                <w:sz w:val="18"/>
                <w:szCs w:val="18"/>
              </w:rPr>
            </w:pPr>
          </w:p>
        </w:tc>
        <w:tc>
          <w:tcPr>
            <w:tcW w:w="7087" w:type="dxa"/>
          </w:tcPr>
          <w:p w:rsidR="00E54A52" w:rsidRDefault="00E54A52" w:rsidP="001A1692">
            <w:pPr>
              <w:adjustRightInd w:val="0"/>
              <w:snapToGrid w:val="0"/>
              <w:jc w:val="left"/>
              <w:rPr>
                <w:rFonts w:ascii="宋体" w:hAnsi="宋体"/>
                <w:bCs/>
                <w:sz w:val="18"/>
                <w:szCs w:val="18"/>
              </w:rPr>
            </w:pPr>
            <w:r w:rsidRPr="00660EA4">
              <w:rPr>
                <w:rFonts w:ascii="宋体" w:hAnsi="宋体" w:hint="eastAsia"/>
                <w:b/>
                <w:bCs/>
                <w:sz w:val="18"/>
                <w:szCs w:val="18"/>
              </w:rPr>
              <w:t>六、</w:t>
            </w:r>
            <w:r w:rsidR="00085069" w:rsidRPr="00085069">
              <w:rPr>
                <w:rFonts w:ascii="宋体" w:hAnsi="宋体" w:hint="eastAsia"/>
                <w:b/>
                <w:bCs/>
                <w:sz w:val="18"/>
                <w:szCs w:val="18"/>
              </w:rPr>
              <w:t>您若为上市公司控股股东或持股</w:t>
            </w:r>
            <w:r w:rsidR="00085069" w:rsidRPr="00085069">
              <w:rPr>
                <w:rFonts w:ascii="宋体" w:hAnsi="宋体"/>
                <w:b/>
                <w:bCs/>
                <w:sz w:val="18"/>
                <w:szCs w:val="18"/>
              </w:rPr>
              <w:t>5%</w:t>
            </w:r>
            <w:r w:rsidR="00085069" w:rsidRPr="00085069">
              <w:rPr>
                <w:rFonts w:ascii="宋体" w:hAnsi="宋体" w:hint="eastAsia"/>
                <w:b/>
                <w:bCs/>
                <w:sz w:val="18"/>
                <w:szCs w:val="18"/>
              </w:rPr>
              <w:t>以上股东（含一致行动人），或您不属于前述股东而您以您持有的该上市公司首次公开发行前发行的股份、该上市公司非公开发行的股份参与证券出借交易的，应该遵守中国证监会及证券交易所的关于股份转让的限制性规定。您应按相关法律法规、中国证监会等部门的部门规章及规范性文件，及证券交易所业务规则等规定履行相关信息披露、公告义务。若您因参与证券出借交易而违反相关法律法规、中国证监会等部门的部门规章及规范性文件，以及证券交易所业务规则的相关规定的，自行承担一切责任及经济损失。</w:t>
            </w:r>
          </w:p>
        </w:tc>
        <w:tc>
          <w:tcPr>
            <w:tcW w:w="1843" w:type="dxa"/>
          </w:tcPr>
          <w:p w:rsidR="00E54A52" w:rsidRPr="00E03DD5" w:rsidRDefault="005415B8"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本条新增。针对大股东及特定股东增加其股份减持及信息披露方面的提示。</w:t>
            </w:r>
          </w:p>
        </w:tc>
      </w:tr>
      <w:tr w:rsidR="001A1692" w:rsidRPr="0092098C" w:rsidTr="003B1405">
        <w:trPr>
          <w:jc w:val="center"/>
        </w:trPr>
        <w:tc>
          <w:tcPr>
            <w:tcW w:w="7089" w:type="dxa"/>
          </w:tcPr>
          <w:p w:rsidR="001A1692" w:rsidRPr="001A1692" w:rsidRDefault="001A1692" w:rsidP="007E6004">
            <w:pPr>
              <w:adjustRightInd w:val="0"/>
              <w:snapToGrid w:val="0"/>
              <w:jc w:val="center"/>
              <w:rPr>
                <w:rFonts w:ascii="宋体" w:hAnsi="宋体"/>
                <w:b/>
                <w:bCs/>
                <w:sz w:val="32"/>
                <w:szCs w:val="32"/>
              </w:rPr>
            </w:pPr>
            <w:r w:rsidRPr="001A1692">
              <w:rPr>
                <w:rFonts w:hint="eastAsia"/>
                <w:b/>
                <w:sz w:val="32"/>
              </w:rPr>
              <w:t>转</w:t>
            </w:r>
            <w:r w:rsidRPr="001A1692">
              <w:rPr>
                <w:b/>
                <w:sz w:val="32"/>
              </w:rPr>
              <w:t>融</w:t>
            </w:r>
            <w:r w:rsidRPr="001A1692">
              <w:rPr>
                <w:rFonts w:hint="eastAsia"/>
                <w:b/>
                <w:sz w:val="32"/>
              </w:rPr>
              <w:t>通证券出借交易代理协议</w:t>
            </w:r>
          </w:p>
        </w:tc>
        <w:tc>
          <w:tcPr>
            <w:tcW w:w="7087" w:type="dxa"/>
          </w:tcPr>
          <w:p w:rsidR="001A1692" w:rsidRPr="001A1692" w:rsidRDefault="001A1692" w:rsidP="00E7759A">
            <w:pPr>
              <w:adjustRightInd w:val="0"/>
              <w:snapToGrid w:val="0"/>
              <w:jc w:val="center"/>
              <w:rPr>
                <w:rFonts w:ascii="宋体" w:hAnsi="宋体"/>
                <w:b/>
                <w:bCs/>
                <w:sz w:val="32"/>
                <w:szCs w:val="32"/>
              </w:rPr>
            </w:pPr>
            <w:r w:rsidRPr="001A1692">
              <w:rPr>
                <w:rFonts w:hint="eastAsia"/>
                <w:b/>
                <w:sz w:val="32"/>
              </w:rPr>
              <w:t>转</w:t>
            </w:r>
            <w:r w:rsidRPr="001A1692">
              <w:rPr>
                <w:b/>
                <w:sz w:val="32"/>
              </w:rPr>
              <w:t>融</w:t>
            </w:r>
            <w:r w:rsidRPr="001A1692">
              <w:rPr>
                <w:rFonts w:hint="eastAsia"/>
                <w:b/>
                <w:sz w:val="32"/>
              </w:rPr>
              <w:t>通证券出借交易代理协议</w:t>
            </w:r>
          </w:p>
        </w:tc>
        <w:tc>
          <w:tcPr>
            <w:tcW w:w="1843" w:type="dxa"/>
          </w:tcPr>
          <w:p w:rsidR="001A1692" w:rsidRPr="00E03DD5" w:rsidRDefault="001A1692" w:rsidP="00E03DD5">
            <w:pPr>
              <w:pStyle w:val="3"/>
              <w:keepNext w:val="0"/>
              <w:keepLines w:val="0"/>
              <w:spacing w:before="0" w:after="0" w:line="240" w:lineRule="auto"/>
              <w:jc w:val="left"/>
              <w:outlineLvl w:val="2"/>
              <w:rPr>
                <w:rFonts w:ascii="宋体" w:hAnsi="宋体" w:cs="Calibri"/>
                <w:sz w:val="18"/>
                <w:szCs w:val="18"/>
              </w:rPr>
            </w:pPr>
          </w:p>
        </w:tc>
      </w:tr>
      <w:tr w:rsidR="001A1692" w:rsidRPr="0092098C" w:rsidTr="003B1405">
        <w:trPr>
          <w:jc w:val="center"/>
        </w:trPr>
        <w:tc>
          <w:tcPr>
            <w:tcW w:w="7089" w:type="dxa"/>
          </w:tcPr>
          <w:p w:rsidR="001A1692" w:rsidRDefault="001A1692" w:rsidP="001A1692">
            <w:pPr>
              <w:adjustRightInd w:val="0"/>
              <w:snapToGrid w:val="0"/>
              <w:rPr>
                <w:rFonts w:ascii="宋体" w:hAnsi="宋体"/>
                <w:bCs/>
                <w:sz w:val="18"/>
                <w:szCs w:val="18"/>
              </w:rPr>
            </w:pPr>
            <w:r>
              <w:rPr>
                <w:rFonts w:ascii="宋体" w:hAnsi="宋体" w:hint="eastAsia"/>
                <w:bCs/>
                <w:sz w:val="18"/>
                <w:szCs w:val="18"/>
              </w:rPr>
              <w:t>乙方基本信息：</w:t>
            </w:r>
          </w:p>
          <w:p w:rsidR="001A1692" w:rsidRPr="001A1692" w:rsidRDefault="001A1692" w:rsidP="001A1692">
            <w:pPr>
              <w:adjustRightInd w:val="0"/>
              <w:snapToGrid w:val="0"/>
              <w:rPr>
                <w:rFonts w:ascii="宋体" w:hAnsi="宋体"/>
                <w:bCs/>
                <w:sz w:val="18"/>
                <w:szCs w:val="18"/>
              </w:rPr>
            </w:pPr>
            <w:r>
              <w:rPr>
                <w:rFonts w:ascii="宋体" w:hAnsi="宋体" w:hint="eastAsia"/>
                <w:bCs/>
                <w:sz w:val="18"/>
                <w:szCs w:val="18"/>
              </w:rPr>
              <w:t xml:space="preserve">法定代表人 </w:t>
            </w:r>
            <w:r w:rsidRPr="001A1692">
              <w:rPr>
                <w:rFonts w:ascii="宋体" w:hAnsi="宋体" w:hint="eastAsia"/>
                <w:bCs/>
                <w:sz w:val="18"/>
                <w:szCs w:val="18"/>
                <w:u w:val="single"/>
              </w:rPr>
              <w:t>王开国</w:t>
            </w:r>
          </w:p>
        </w:tc>
        <w:tc>
          <w:tcPr>
            <w:tcW w:w="7087" w:type="dxa"/>
          </w:tcPr>
          <w:p w:rsidR="001A1692" w:rsidRDefault="001A1692" w:rsidP="001A1692">
            <w:pPr>
              <w:adjustRightInd w:val="0"/>
              <w:snapToGrid w:val="0"/>
              <w:rPr>
                <w:rFonts w:ascii="宋体" w:hAnsi="宋体"/>
                <w:bCs/>
                <w:sz w:val="18"/>
                <w:szCs w:val="18"/>
              </w:rPr>
            </w:pPr>
            <w:r>
              <w:rPr>
                <w:rFonts w:ascii="宋体" w:hAnsi="宋体" w:hint="eastAsia"/>
                <w:bCs/>
                <w:sz w:val="18"/>
                <w:szCs w:val="18"/>
              </w:rPr>
              <w:t>乙方基本信息：</w:t>
            </w:r>
          </w:p>
          <w:p w:rsidR="001A1692" w:rsidRPr="001A1692" w:rsidRDefault="001A1692" w:rsidP="001A1692">
            <w:pPr>
              <w:adjustRightInd w:val="0"/>
              <w:snapToGrid w:val="0"/>
              <w:rPr>
                <w:rFonts w:ascii="宋体" w:hAnsi="宋体"/>
                <w:bCs/>
                <w:sz w:val="18"/>
                <w:szCs w:val="18"/>
              </w:rPr>
            </w:pPr>
            <w:r>
              <w:rPr>
                <w:rFonts w:ascii="宋体" w:hAnsi="宋体" w:hint="eastAsia"/>
                <w:bCs/>
                <w:sz w:val="18"/>
                <w:szCs w:val="18"/>
              </w:rPr>
              <w:t>法定代表人 周杰</w:t>
            </w:r>
          </w:p>
        </w:tc>
        <w:tc>
          <w:tcPr>
            <w:tcW w:w="1843" w:type="dxa"/>
          </w:tcPr>
          <w:p w:rsidR="001A1692" w:rsidRPr="00E03DD5" w:rsidRDefault="005415B8"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变更公司法定代表人</w:t>
            </w:r>
          </w:p>
        </w:tc>
      </w:tr>
      <w:tr w:rsidR="001A1692" w:rsidRPr="0092098C" w:rsidTr="003B1405">
        <w:trPr>
          <w:jc w:val="center"/>
        </w:trPr>
        <w:tc>
          <w:tcPr>
            <w:tcW w:w="7089" w:type="dxa"/>
          </w:tcPr>
          <w:p w:rsidR="001A1692" w:rsidRPr="001A1692" w:rsidRDefault="001A1692" w:rsidP="007E6004">
            <w:pPr>
              <w:adjustRightInd w:val="0"/>
              <w:snapToGrid w:val="0"/>
              <w:jc w:val="center"/>
              <w:rPr>
                <w:rFonts w:ascii="宋体" w:hAnsi="宋体"/>
                <w:b/>
                <w:bCs/>
                <w:sz w:val="32"/>
                <w:szCs w:val="32"/>
              </w:rPr>
            </w:pPr>
            <w:r w:rsidRPr="001A1692">
              <w:rPr>
                <w:rFonts w:ascii="宋体" w:hAnsi="宋体" w:hint="eastAsia"/>
                <w:b/>
                <w:bCs/>
                <w:sz w:val="32"/>
                <w:szCs w:val="32"/>
              </w:rPr>
              <w:t>第三条 权利与义务</w:t>
            </w:r>
          </w:p>
        </w:tc>
        <w:tc>
          <w:tcPr>
            <w:tcW w:w="7087" w:type="dxa"/>
          </w:tcPr>
          <w:p w:rsidR="001A1692" w:rsidRPr="001A1692" w:rsidRDefault="001A1692" w:rsidP="00E7759A">
            <w:pPr>
              <w:adjustRightInd w:val="0"/>
              <w:snapToGrid w:val="0"/>
              <w:jc w:val="center"/>
              <w:rPr>
                <w:rFonts w:ascii="宋体" w:hAnsi="宋体"/>
                <w:b/>
                <w:bCs/>
                <w:sz w:val="32"/>
                <w:szCs w:val="32"/>
              </w:rPr>
            </w:pPr>
            <w:r w:rsidRPr="001A1692">
              <w:rPr>
                <w:rFonts w:ascii="宋体" w:hAnsi="宋体" w:hint="eastAsia"/>
                <w:b/>
                <w:bCs/>
                <w:sz w:val="32"/>
                <w:szCs w:val="32"/>
              </w:rPr>
              <w:t>第三条 权利与义务</w:t>
            </w:r>
          </w:p>
        </w:tc>
        <w:tc>
          <w:tcPr>
            <w:tcW w:w="1843" w:type="dxa"/>
          </w:tcPr>
          <w:p w:rsidR="001A1692" w:rsidRPr="00E03DD5" w:rsidRDefault="001A1692" w:rsidP="00E03DD5">
            <w:pPr>
              <w:pStyle w:val="3"/>
              <w:keepNext w:val="0"/>
              <w:keepLines w:val="0"/>
              <w:spacing w:before="0" w:after="0" w:line="240" w:lineRule="auto"/>
              <w:jc w:val="left"/>
              <w:outlineLvl w:val="2"/>
              <w:rPr>
                <w:rFonts w:ascii="宋体" w:hAnsi="宋体" w:cs="Calibri"/>
                <w:sz w:val="18"/>
                <w:szCs w:val="18"/>
              </w:rPr>
            </w:pPr>
          </w:p>
        </w:tc>
      </w:tr>
      <w:tr w:rsidR="00660EA4" w:rsidRPr="0092098C" w:rsidTr="003B1405">
        <w:trPr>
          <w:jc w:val="center"/>
        </w:trPr>
        <w:tc>
          <w:tcPr>
            <w:tcW w:w="7089" w:type="dxa"/>
          </w:tcPr>
          <w:p w:rsidR="00660EA4" w:rsidRPr="001A1692" w:rsidRDefault="00660EA4" w:rsidP="00660EA4">
            <w:pPr>
              <w:adjustRightInd w:val="0"/>
              <w:snapToGrid w:val="0"/>
              <w:rPr>
                <w:rFonts w:ascii="宋体" w:hAnsi="宋体"/>
                <w:b/>
                <w:bCs/>
                <w:sz w:val="32"/>
                <w:szCs w:val="32"/>
              </w:rPr>
            </w:pPr>
            <w:r w:rsidRPr="00660EA4">
              <w:rPr>
                <w:rFonts w:ascii="宋体" w:hAnsi="宋体" w:hint="eastAsia"/>
                <w:bCs/>
                <w:sz w:val="18"/>
                <w:szCs w:val="18"/>
              </w:rPr>
              <w:t>3.2.5甲方出借或收回出借股票时，持有一家上市公司股票及其权益的数量或者其增减变动合计达到法定的比例时，应当依法履行相应的信息报告、披露义务。</w:t>
            </w:r>
          </w:p>
        </w:tc>
        <w:tc>
          <w:tcPr>
            <w:tcW w:w="7087" w:type="dxa"/>
          </w:tcPr>
          <w:p w:rsidR="00660EA4" w:rsidRPr="00660EA4" w:rsidRDefault="00660EA4" w:rsidP="00660EA4">
            <w:pPr>
              <w:adjustRightInd w:val="0"/>
              <w:snapToGrid w:val="0"/>
              <w:rPr>
                <w:rFonts w:ascii="宋体" w:hAnsi="宋体"/>
                <w:bCs/>
                <w:sz w:val="18"/>
                <w:szCs w:val="18"/>
              </w:rPr>
            </w:pPr>
            <w:r w:rsidRPr="00660EA4">
              <w:rPr>
                <w:rFonts w:ascii="宋体" w:hAnsi="宋体" w:hint="eastAsia"/>
                <w:bCs/>
                <w:sz w:val="18"/>
                <w:szCs w:val="18"/>
              </w:rPr>
              <w:t>3.2.5</w:t>
            </w:r>
            <w:r w:rsidR="00085069" w:rsidRPr="00085069">
              <w:rPr>
                <w:rFonts w:ascii="宋体" w:hAnsi="宋体" w:hint="eastAsia"/>
                <w:b/>
                <w:bCs/>
                <w:sz w:val="18"/>
                <w:szCs w:val="18"/>
              </w:rPr>
              <w:t>甲方若为上市公司控股股东或持股</w:t>
            </w:r>
            <w:r w:rsidR="00085069" w:rsidRPr="00085069">
              <w:rPr>
                <w:rFonts w:ascii="宋体" w:hAnsi="宋体"/>
                <w:b/>
                <w:bCs/>
                <w:sz w:val="18"/>
                <w:szCs w:val="18"/>
              </w:rPr>
              <w:t>5%</w:t>
            </w:r>
            <w:r w:rsidR="00085069" w:rsidRPr="00085069">
              <w:rPr>
                <w:rFonts w:ascii="宋体" w:hAnsi="宋体" w:hint="eastAsia"/>
                <w:b/>
                <w:bCs/>
                <w:sz w:val="18"/>
                <w:szCs w:val="18"/>
              </w:rPr>
              <w:t>以上股东（含一致行动人），或甲方不属于前述股东而以其持有的公司首次公开发行前发行的股份、上市公司非公开发行的股份参与证券出借交易的，应该遵守中国证监会及证券交易所的关于股份转让的限制性规定。</w:t>
            </w:r>
            <w:r w:rsidR="00085069" w:rsidRPr="00085069">
              <w:rPr>
                <w:rFonts w:ascii="宋体" w:hAnsi="宋体" w:hint="eastAsia"/>
                <w:bCs/>
                <w:sz w:val="18"/>
                <w:szCs w:val="18"/>
              </w:rPr>
              <w:t>甲方出借或收回出借股票时，持有一家上市公司股票及其权益的数量或者其增减变动合计达到法定的比例时，</w:t>
            </w:r>
            <w:r w:rsidR="00085069" w:rsidRPr="00085069">
              <w:rPr>
                <w:rFonts w:ascii="宋体" w:hAnsi="宋体" w:hint="eastAsia"/>
                <w:b/>
                <w:bCs/>
                <w:sz w:val="18"/>
                <w:szCs w:val="18"/>
              </w:rPr>
              <w:t>应当按相关法律法规、中国证监会等相关部门的部门规章及规范性文件，及证券交易所业务规则等规定</w:t>
            </w:r>
            <w:r w:rsidR="00085069" w:rsidRPr="00085069">
              <w:rPr>
                <w:rFonts w:ascii="宋体" w:hAnsi="宋体" w:hint="eastAsia"/>
                <w:bCs/>
                <w:sz w:val="18"/>
                <w:szCs w:val="18"/>
              </w:rPr>
              <w:t>依法履行相应的信息报告、披露义务。</w:t>
            </w:r>
          </w:p>
        </w:tc>
        <w:tc>
          <w:tcPr>
            <w:tcW w:w="1843" w:type="dxa"/>
          </w:tcPr>
          <w:p w:rsidR="00660EA4" w:rsidRPr="00E03DD5" w:rsidRDefault="005415B8"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针对大股东及特定股东增加减持方面的相关约定。</w:t>
            </w:r>
          </w:p>
        </w:tc>
      </w:tr>
      <w:tr w:rsidR="001A1692" w:rsidRPr="0092098C" w:rsidTr="003B1405">
        <w:trPr>
          <w:jc w:val="center"/>
        </w:trPr>
        <w:tc>
          <w:tcPr>
            <w:tcW w:w="7089" w:type="dxa"/>
          </w:tcPr>
          <w:p w:rsidR="001A1692" w:rsidRPr="001A1692" w:rsidRDefault="001A1692" w:rsidP="001A1692">
            <w:pPr>
              <w:adjustRightInd w:val="0"/>
              <w:snapToGrid w:val="0"/>
              <w:rPr>
                <w:rFonts w:ascii="宋体" w:hAnsi="宋体"/>
                <w:bCs/>
                <w:sz w:val="18"/>
                <w:szCs w:val="18"/>
              </w:rPr>
            </w:pPr>
          </w:p>
        </w:tc>
        <w:tc>
          <w:tcPr>
            <w:tcW w:w="7087" w:type="dxa"/>
          </w:tcPr>
          <w:p w:rsidR="001A1692" w:rsidRPr="001A1692" w:rsidRDefault="001A1692" w:rsidP="001A1692">
            <w:pPr>
              <w:adjustRightInd w:val="0"/>
              <w:snapToGrid w:val="0"/>
              <w:jc w:val="left"/>
              <w:rPr>
                <w:rFonts w:ascii="宋体" w:hAnsi="宋体"/>
                <w:b/>
                <w:bCs/>
                <w:sz w:val="18"/>
                <w:szCs w:val="18"/>
              </w:rPr>
            </w:pPr>
            <w:r w:rsidRPr="001A1692">
              <w:rPr>
                <w:rFonts w:ascii="宋体" w:hAnsi="宋体" w:hint="eastAsia"/>
                <w:b/>
                <w:sz w:val="18"/>
                <w:szCs w:val="18"/>
              </w:rPr>
              <w:t>3.3.7甲方开展证券出借交易期间，不满足监管机构或乙方适当性管理要求的，乙方有权拒绝为甲方提供证券出借代理交易服务；</w:t>
            </w:r>
          </w:p>
        </w:tc>
        <w:tc>
          <w:tcPr>
            <w:tcW w:w="1843" w:type="dxa"/>
          </w:tcPr>
          <w:p w:rsidR="001A1692" w:rsidRPr="00E03DD5" w:rsidRDefault="005415B8"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本条新增。约定</w:t>
            </w:r>
            <w:r w:rsidR="00D82754" w:rsidRPr="00E03DD5">
              <w:rPr>
                <w:rFonts w:ascii="宋体" w:hAnsi="宋体" w:cs="Calibri" w:hint="eastAsia"/>
                <w:sz w:val="18"/>
                <w:szCs w:val="18"/>
              </w:rPr>
              <w:t>甲方</w:t>
            </w:r>
            <w:r w:rsidR="00D82754" w:rsidRPr="00E03DD5">
              <w:rPr>
                <w:rFonts w:ascii="宋体" w:hAnsi="宋体" w:cs="Calibri" w:hint="eastAsia"/>
                <w:sz w:val="18"/>
                <w:szCs w:val="18"/>
              </w:rPr>
              <w:lastRenderedPageBreak/>
              <w:t>若不符合适当性管理要求，乙方有权拒绝提供出借服务。</w:t>
            </w:r>
          </w:p>
        </w:tc>
      </w:tr>
      <w:tr w:rsidR="001A1692" w:rsidRPr="0092098C" w:rsidTr="003B1405">
        <w:trPr>
          <w:jc w:val="center"/>
        </w:trPr>
        <w:tc>
          <w:tcPr>
            <w:tcW w:w="7089" w:type="dxa"/>
          </w:tcPr>
          <w:p w:rsidR="001A1692" w:rsidRPr="001A1692" w:rsidRDefault="001A1692" w:rsidP="001A1692">
            <w:pPr>
              <w:adjustRightInd w:val="0"/>
              <w:snapToGrid w:val="0"/>
              <w:rPr>
                <w:rFonts w:ascii="宋体" w:hAnsi="宋体"/>
                <w:bCs/>
                <w:sz w:val="18"/>
                <w:szCs w:val="18"/>
              </w:rPr>
            </w:pPr>
            <w:r w:rsidRPr="001A1692">
              <w:rPr>
                <w:rFonts w:ascii="宋体" w:hAnsi="宋体" w:hint="eastAsia"/>
                <w:bCs/>
                <w:sz w:val="18"/>
                <w:szCs w:val="18"/>
              </w:rPr>
              <w:lastRenderedPageBreak/>
              <w:t>3.4.2及时向证券交易所报备甲方的转融通证券出借人资格；</w:t>
            </w:r>
          </w:p>
        </w:tc>
        <w:tc>
          <w:tcPr>
            <w:tcW w:w="7087" w:type="dxa"/>
          </w:tcPr>
          <w:p w:rsidR="001A1692" w:rsidRPr="001A1692" w:rsidRDefault="001A1692" w:rsidP="001A1692">
            <w:pPr>
              <w:adjustRightInd w:val="0"/>
              <w:snapToGrid w:val="0"/>
              <w:rPr>
                <w:rFonts w:ascii="宋体" w:hAnsi="宋体"/>
                <w:bCs/>
                <w:sz w:val="18"/>
                <w:szCs w:val="18"/>
              </w:rPr>
            </w:pPr>
            <w:r w:rsidRPr="001A1692">
              <w:rPr>
                <w:rFonts w:ascii="宋体" w:hAnsi="宋体" w:hint="eastAsia"/>
                <w:bCs/>
                <w:sz w:val="18"/>
                <w:szCs w:val="18"/>
              </w:rPr>
              <w:t>3.4.2及时向证券交易所</w:t>
            </w:r>
            <w:r w:rsidRPr="001A1692">
              <w:rPr>
                <w:rFonts w:ascii="宋体" w:hAnsi="宋体" w:hint="eastAsia"/>
                <w:b/>
                <w:bCs/>
                <w:sz w:val="18"/>
                <w:szCs w:val="18"/>
              </w:rPr>
              <w:t>及相关机构</w:t>
            </w:r>
            <w:r w:rsidRPr="001A1692">
              <w:rPr>
                <w:rFonts w:ascii="宋体" w:hAnsi="宋体" w:hint="eastAsia"/>
                <w:bCs/>
                <w:sz w:val="18"/>
                <w:szCs w:val="18"/>
              </w:rPr>
              <w:t>报备甲方的转融通证券出借人资格；</w:t>
            </w:r>
          </w:p>
        </w:tc>
        <w:tc>
          <w:tcPr>
            <w:tcW w:w="1843" w:type="dxa"/>
          </w:tcPr>
          <w:p w:rsidR="001A1692" w:rsidRPr="00E03DD5" w:rsidRDefault="00D82754"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修订相关描述。</w:t>
            </w:r>
          </w:p>
        </w:tc>
      </w:tr>
      <w:tr w:rsidR="001A1692" w:rsidRPr="0092098C" w:rsidTr="003B1405">
        <w:trPr>
          <w:jc w:val="center"/>
        </w:trPr>
        <w:tc>
          <w:tcPr>
            <w:tcW w:w="7089" w:type="dxa"/>
          </w:tcPr>
          <w:p w:rsidR="001A1692" w:rsidRPr="001A1692" w:rsidRDefault="001A1692" w:rsidP="001A1692">
            <w:pPr>
              <w:adjustRightInd w:val="0"/>
              <w:snapToGrid w:val="0"/>
              <w:jc w:val="center"/>
              <w:rPr>
                <w:rFonts w:ascii="宋体" w:hAnsi="宋体"/>
                <w:bCs/>
                <w:sz w:val="32"/>
                <w:szCs w:val="32"/>
              </w:rPr>
            </w:pPr>
            <w:r w:rsidRPr="001A1692">
              <w:rPr>
                <w:rFonts w:ascii="宋体" w:hAnsi="宋体" w:hint="eastAsia"/>
                <w:b/>
                <w:bCs/>
                <w:sz w:val="32"/>
                <w:szCs w:val="32"/>
              </w:rPr>
              <w:t>第四条 业务规则及操作</w:t>
            </w:r>
          </w:p>
        </w:tc>
        <w:tc>
          <w:tcPr>
            <w:tcW w:w="7087" w:type="dxa"/>
          </w:tcPr>
          <w:p w:rsidR="001A1692" w:rsidRPr="001A1692" w:rsidRDefault="001A1692" w:rsidP="001A1692">
            <w:pPr>
              <w:adjustRightInd w:val="0"/>
              <w:snapToGrid w:val="0"/>
              <w:jc w:val="center"/>
              <w:rPr>
                <w:rFonts w:ascii="宋体" w:hAnsi="宋体"/>
                <w:bCs/>
                <w:sz w:val="32"/>
                <w:szCs w:val="32"/>
              </w:rPr>
            </w:pPr>
            <w:r w:rsidRPr="001A1692">
              <w:rPr>
                <w:rFonts w:ascii="宋体" w:hAnsi="宋体" w:hint="eastAsia"/>
                <w:b/>
                <w:bCs/>
                <w:sz w:val="32"/>
                <w:szCs w:val="32"/>
              </w:rPr>
              <w:t>第四条 业务规则及操作</w:t>
            </w:r>
          </w:p>
        </w:tc>
        <w:tc>
          <w:tcPr>
            <w:tcW w:w="1843" w:type="dxa"/>
          </w:tcPr>
          <w:p w:rsidR="001A1692" w:rsidRPr="00E03DD5" w:rsidRDefault="001A1692" w:rsidP="00E03DD5">
            <w:pPr>
              <w:pStyle w:val="3"/>
              <w:keepNext w:val="0"/>
              <w:keepLines w:val="0"/>
              <w:spacing w:before="0" w:after="0" w:line="240" w:lineRule="auto"/>
              <w:jc w:val="left"/>
              <w:outlineLvl w:val="2"/>
              <w:rPr>
                <w:rFonts w:ascii="宋体" w:hAnsi="宋体" w:cs="Calibri"/>
                <w:sz w:val="18"/>
                <w:szCs w:val="18"/>
              </w:rPr>
            </w:pPr>
          </w:p>
        </w:tc>
      </w:tr>
      <w:tr w:rsidR="001A1692" w:rsidRPr="0092098C" w:rsidTr="003B1405">
        <w:trPr>
          <w:jc w:val="center"/>
        </w:trPr>
        <w:tc>
          <w:tcPr>
            <w:tcW w:w="7089" w:type="dxa"/>
          </w:tcPr>
          <w:p w:rsidR="001A1692" w:rsidRPr="001A1692" w:rsidRDefault="001A1692" w:rsidP="001A1692">
            <w:pPr>
              <w:adjustRightInd w:val="0"/>
              <w:snapToGrid w:val="0"/>
              <w:rPr>
                <w:rFonts w:ascii="宋体" w:hAnsi="宋体"/>
                <w:bCs/>
                <w:sz w:val="18"/>
                <w:szCs w:val="18"/>
              </w:rPr>
            </w:pPr>
            <w:r w:rsidRPr="001A1692">
              <w:rPr>
                <w:rFonts w:ascii="宋体" w:hAnsi="宋体" w:hint="eastAsia"/>
                <w:bCs/>
                <w:sz w:val="18"/>
                <w:szCs w:val="18"/>
              </w:rPr>
              <w:t>4.1甲方参与证券出借交易应当具备出借人资格，并向乙方提交申请材料，经乙方审核通过且签署本协议及相关风险揭示书后，由其向证券交易所报备转融通证券出借人资格。</w:t>
            </w:r>
          </w:p>
        </w:tc>
        <w:tc>
          <w:tcPr>
            <w:tcW w:w="7087" w:type="dxa"/>
          </w:tcPr>
          <w:p w:rsidR="001A1692" w:rsidRPr="001A1692" w:rsidRDefault="001A1692" w:rsidP="001A1692">
            <w:pPr>
              <w:adjustRightInd w:val="0"/>
              <w:snapToGrid w:val="0"/>
              <w:rPr>
                <w:rFonts w:ascii="宋体" w:hAnsi="宋体"/>
                <w:bCs/>
                <w:sz w:val="18"/>
                <w:szCs w:val="18"/>
              </w:rPr>
            </w:pPr>
            <w:r w:rsidRPr="001A1692">
              <w:rPr>
                <w:rFonts w:ascii="宋体" w:hAnsi="宋体" w:hint="eastAsia"/>
                <w:bCs/>
                <w:sz w:val="18"/>
                <w:szCs w:val="18"/>
              </w:rPr>
              <w:t>4.1甲方参与证券出借交易应当具备出借人资格，并向乙方提交申请材料，经乙方审核通过且签署本协议及相关风险揭示书后，由其向证券交易所</w:t>
            </w:r>
            <w:r w:rsidRPr="001A1692">
              <w:rPr>
                <w:rFonts w:ascii="宋体" w:hAnsi="宋体" w:hint="eastAsia"/>
                <w:b/>
                <w:bCs/>
                <w:sz w:val="18"/>
                <w:szCs w:val="18"/>
              </w:rPr>
              <w:t>及相关机构</w:t>
            </w:r>
            <w:r w:rsidRPr="001A1692">
              <w:rPr>
                <w:rFonts w:ascii="宋体" w:hAnsi="宋体" w:hint="eastAsia"/>
                <w:bCs/>
                <w:sz w:val="18"/>
                <w:szCs w:val="18"/>
              </w:rPr>
              <w:t>报备转融通证券出借人资格。</w:t>
            </w:r>
          </w:p>
        </w:tc>
        <w:tc>
          <w:tcPr>
            <w:tcW w:w="1843" w:type="dxa"/>
          </w:tcPr>
          <w:p w:rsidR="001A1692" w:rsidRPr="00E03DD5" w:rsidRDefault="00D82754"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同上。</w:t>
            </w:r>
          </w:p>
        </w:tc>
      </w:tr>
      <w:tr w:rsidR="008D4D12" w:rsidRPr="0092098C" w:rsidTr="003B1405">
        <w:trPr>
          <w:jc w:val="center"/>
        </w:trPr>
        <w:tc>
          <w:tcPr>
            <w:tcW w:w="7089" w:type="dxa"/>
          </w:tcPr>
          <w:p w:rsidR="008D4D12" w:rsidRPr="001A1692" w:rsidRDefault="008D4D12" w:rsidP="00B6046B">
            <w:pPr>
              <w:adjustRightInd w:val="0"/>
              <w:snapToGrid w:val="0"/>
              <w:jc w:val="center"/>
              <w:rPr>
                <w:rFonts w:ascii="宋体" w:hAnsi="宋体" w:hint="eastAsia"/>
                <w:bCs/>
                <w:sz w:val="18"/>
                <w:szCs w:val="18"/>
              </w:rPr>
            </w:pPr>
            <w:r w:rsidRPr="002E0864">
              <w:rPr>
                <w:rFonts w:ascii="宋体" w:hAnsi="宋体" w:hint="eastAsia"/>
                <w:b/>
                <w:bCs/>
                <w:sz w:val="24"/>
              </w:rPr>
              <w:t xml:space="preserve">　</w:t>
            </w:r>
            <w:r w:rsidR="00B6046B" w:rsidRPr="00B6046B">
              <w:rPr>
                <w:rFonts w:ascii="宋体" w:hAnsi="宋体" w:hint="eastAsia"/>
                <w:b/>
                <w:bCs/>
                <w:sz w:val="32"/>
                <w:szCs w:val="32"/>
              </w:rPr>
              <w:t xml:space="preserve">第六条　</w:t>
            </w:r>
            <w:r w:rsidRPr="00B6046B">
              <w:rPr>
                <w:rFonts w:ascii="宋体" w:hAnsi="宋体" w:hint="eastAsia"/>
                <w:b/>
                <w:bCs/>
                <w:sz w:val="32"/>
                <w:szCs w:val="32"/>
              </w:rPr>
              <w:t>通知与送达</w:t>
            </w:r>
          </w:p>
        </w:tc>
        <w:tc>
          <w:tcPr>
            <w:tcW w:w="7087" w:type="dxa"/>
          </w:tcPr>
          <w:p w:rsidR="008D4D12" w:rsidRPr="001A1692" w:rsidRDefault="00B6046B" w:rsidP="00B6046B">
            <w:pPr>
              <w:adjustRightInd w:val="0"/>
              <w:snapToGrid w:val="0"/>
              <w:jc w:val="center"/>
              <w:rPr>
                <w:rFonts w:ascii="宋体" w:hAnsi="宋体" w:hint="eastAsia"/>
                <w:bCs/>
                <w:sz w:val="18"/>
                <w:szCs w:val="18"/>
              </w:rPr>
            </w:pPr>
            <w:r w:rsidRPr="00B6046B">
              <w:rPr>
                <w:rFonts w:ascii="宋体" w:hAnsi="宋体" w:hint="eastAsia"/>
                <w:b/>
                <w:bCs/>
                <w:sz w:val="32"/>
                <w:szCs w:val="32"/>
              </w:rPr>
              <w:t xml:space="preserve">第六条　</w:t>
            </w:r>
            <w:r w:rsidRPr="00B6046B">
              <w:rPr>
                <w:rFonts w:ascii="宋体" w:hAnsi="宋体" w:hint="eastAsia"/>
                <w:b/>
                <w:bCs/>
                <w:sz w:val="32"/>
                <w:szCs w:val="32"/>
              </w:rPr>
              <w:t>通知与送达</w:t>
            </w:r>
          </w:p>
        </w:tc>
        <w:tc>
          <w:tcPr>
            <w:tcW w:w="1843" w:type="dxa"/>
          </w:tcPr>
          <w:p w:rsidR="008D4D12" w:rsidRPr="00E03DD5" w:rsidRDefault="008D4D12" w:rsidP="00E03DD5">
            <w:pPr>
              <w:pStyle w:val="3"/>
              <w:keepNext w:val="0"/>
              <w:keepLines w:val="0"/>
              <w:spacing w:before="0" w:after="0" w:line="240" w:lineRule="auto"/>
              <w:jc w:val="left"/>
              <w:outlineLvl w:val="2"/>
              <w:rPr>
                <w:rFonts w:ascii="宋体" w:hAnsi="宋体" w:cs="Calibri" w:hint="eastAsia"/>
                <w:sz w:val="18"/>
                <w:szCs w:val="18"/>
              </w:rPr>
            </w:pPr>
          </w:p>
        </w:tc>
      </w:tr>
      <w:tr w:rsidR="008D4D12" w:rsidRPr="0092098C" w:rsidTr="003B1405">
        <w:trPr>
          <w:jc w:val="center"/>
        </w:trPr>
        <w:tc>
          <w:tcPr>
            <w:tcW w:w="7089" w:type="dxa"/>
          </w:tcPr>
          <w:p w:rsidR="008D4D12" w:rsidRPr="00B6046B" w:rsidRDefault="008D4D12" w:rsidP="001A1692">
            <w:pPr>
              <w:adjustRightInd w:val="0"/>
              <w:snapToGrid w:val="0"/>
              <w:rPr>
                <w:rFonts w:ascii="宋体" w:hAnsi="宋体" w:hint="eastAsia"/>
                <w:bCs/>
                <w:sz w:val="18"/>
                <w:szCs w:val="18"/>
              </w:rPr>
            </w:pPr>
            <w:r w:rsidRPr="00B6046B">
              <w:rPr>
                <w:rFonts w:ascii="宋体" w:hAnsi="宋体" w:hint="eastAsia"/>
                <w:bCs/>
                <w:sz w:val="18"/>
                <w:szCs w:val="18"/>
              </w:rPr>
              <w:t>6.3通知的送达时间：</w:t>
            </w:r>
          </w:p>
          <w:p w:rsidR="008D4D12" w:rsidRDefault="008D4D12" w:rsidP="008D4D12">
            <w:pPr>
              <w:adjustRightInd w:val="0"/>
              <w:snapToGrid w:val="0"/>
              <w:rPr>
                <w:rFonts w:ascii="宋体" w:hAnsi="宋体" w:hint="eastAsia"/>
                <w:bCs/>
                <w:sz w:val="18"/>
                <w:szCs w:val="18"/>
              </w:rPr>
            </w:pPr>
            <w:r w:rsidRPr="00B6046B">
              <w:rPr>
                <w:rFonts w:ascii="宋体" w:hAnsi="宋体" w:hint="eastAsia"/>
                <w:bCs/>
                <w:sz w:val="18"/>
                <w:szCs w:val="18"/>
              </w:rPr>
              <w:t>（3）如协议约定以公告方式通知的，</w:t>
            </w:r>
            <w:r w:rsidRPr="00B6046B">
              <w:rPr>
                <w:rFonts w:ascii="宋体" w:hAnsi="宋体" w:hint="eastAsia"/>
                <w:bCs/>
                <w:sz w:val="18"/>
                <w:szCs w:val="18"/>
                <w:u w:val="single"/>
              </w:rPr>
              <w:t>甲</w:t>
            </w:r>
            <w:r w:rsidRPr="00B6046B">
              <w:rPr>
                <w:rFonts w:ascii="宋体" w:hAnsi="宋体" w:hint="eastAsia"/>
                <w:bCs/>
                <w:sz w:val="18"/>
                <w:szCs w:val="18"/>
                <w:u w:val="single"/>
              </w:rPr>
              <w:t>方</w:t>
            </w:r>
            <w:r w:rsidRPr="00B6046B">
              <w:rPr>
                <w:rFonts w:ascii="宋体" w:hAnsi="宋体" w:hint="eastAsia"/>
                <w:bCs/>
                <w:sz w:val="18"/>
                <w:szCs w:val="18"/>
              </w:rPr>
              <w:t>公告发出后视为通知送达。</w:t>
            </w:r>
          </w:p>
          <w:p w:rsidR="00B6046B" w:rsidRPr="001A1692" w:rsidRDefault="00B6046B" w:rsidP="008D4D12">
            <w:pPr>
              <w:adjustRightInd w:val="0"/>
              <w:snapToGrid w:val="0"/>
              <w:rPr>
                <w:rFonts w:ascii="宋体" w:hAnsi="宋体" w:hint="eastAsia"/>
                <w:bCs/>
                <w:sz w:val="18"/>
                <w:szCs w:val="18"/>
              </w:rPr>
            </w:pPr>
          </w:p>
        </w:tc>
        <w:tc>
          <w:tcPr>
            <w:tcW w:w="7087" w:type="dxa"/>
          </w:tcPr>
          <w:p w:rsidR="008D4D12" w:rsidRPr="00B6046B" w:rsidRDefault="008D4D12" w:rsidP="009E1F86">
            <w:pPr>
              <w:adjustRightInd w:val="0"/>
              <w:snapToGrid w:val="0"/>
              <w:rPr>
                <w:rFonts w:ascii="宋体" w:hAnsi="宋体" w:hint="eastAsia"/>
                <w:bCs/>
                <w:sz w:val="18"/>
                <w:szCs w:val="18"/>
              </w:rPr>
            </w:pPr>
            <w:r w:rsidRPr="00B6046B">
              <w:rPr>
                <w:rFonts w:ascii="宋体" w:hAnsi="宋体" w:hint="eastAsia"/>
                <w:bCs/>
                <w:sz w:val="18"/>
                <w:szCs w:val="18"/>
              </w:rPr>
              <w:t>6.3通知的送达时间：</w:t>
            </w:r>
          </w:p>
          <w:p w:rsidR="008D4D12" w:rsidRPr="001A1692" w:rsidRDefault="008D4D12" w:rsidP="009E1F86">
            <w:pPr>
              <w:adjustRightInd w:val="0"/>
              <w:snapToGrid w:val="0"/>
              <w:rPr>
                <w:rFonts w:ascii="宋体" w:hAnsi="宋体" w:hint="eastAsia"/>
                <w:bCs/>
                <w:sz w:val="18"/>
                <w:szCs w:val="18"/>
              </w:rPr>
            </w:pPr>
            <w:r w:rsidRPr="00B6046B">
              <w:rPr>
                <w:rFonts w:ascii="宋体" w:hAnsi="宋体" w:hint="eastAsia"/>
                <w:bCs/>
                <w:sz w:val="18"/>
                <w:szCs w:val="18"/>
              </w:rPr>
              <w:t>（3）如协议约定以公告方式通知的，</w:t>
            </w:r>
            <w:r w:rsidRPr="00B6046B">
              <w:rPr>
                <w:rFonts w:ascii="宋体" w:hAnsi="宋体" w:hint="eastAsia"/>
                <w:b/>
                <w:bCs/>
                <w:sz w:val="18"/>
                <w:szCs w:val="18"/>
              </w:rPr>
              <w:t>乙</w:t>
            </w:r>
            <w:r w:rsidRPr="00B6046B">
              <w:rPr>
                <w:rFonts w:ascii="宋体" w:hAnsi="宋体" w:hint="eastAsia"/>
                <w:b/>
                <w:bCs/>
                <w:sz w:val="18"/>
                <w:szCs w:val="18"/>
              </w:rPr>
              <w:t>方</w:t>
            </w:r>
            <w:r w:rsidRPr="00B6046B">
              <w:rPr>
                <w:rFonts w:ascii="宋体" w:hAnsi="宋体" w:hint="eastAsia"/>
                <w:bCs/>
                <w:sz w:val="18"/>
                <w:szCs w:val="18"/>
              </w:rPr>
              <w:t>公告发出后视为通知送达。</w:t>
            </w:r>
          </w:p>
        </w:tc>
        <w:tc>
          <w:tcPr>
            <w:tcW w:w="1843" w:type="dxa"/>
          </w:tcPr>
          <w:p w:rsidR="008D4D12" w:rsidRPr="00E03DD5" w:rsidRDefault="00B6046B" w:rsidP="00E03DD5">
            <w:pPr>
              <w:pStyle w:val="3"/>
              <w:keepNext w:val="0"/>
              <w:keepLines w:val="0"/>
              <w:spacing w:before="0" w:after="0" w:line="240" w:lineRule="auto"/>
              <w:jc w:val="left"/>
              <w:outlineLvl w:val="2"/>
              <w:rPr>
                <w:rFonts w:ascii="宋体" w:hAnsi="宋体" w:cs="Calibri" w:hint="eastAsia"/>
                <w:sz w:val="18"/>
                <w:szCs w:val="18"/>
              </w:rPr>
            </w:pPr>
            <w:r>
              <w:rPr>
                <w:rFonts w:ascii="宋体" w:hAnsi="宋体" w:cs="Calibri" w:hint="eastAsia"/>
                <w:sz w:val="18"/>
                <w:szCs w:val="18"/>
              </w:rPr>
              <w:t>更正。</w:t>
            </w:r>
          </w:p>
        </w:tc>
      </w:tr>
      <w:tr w:rsidR="008D4D12" w:rsidRPr="0092098C" w:rsidTr="003B1405">
        <w:trPr>
          <w:jc w:val="center"/>
        </w:trPr>
        <w:tc>
          <w:tcPr>
            <w:tcW w:w="7089" w:type="dxa"/>
          </w:tcPr>
          <w:p w:rsidR="008D4D12" w:rsidRPr="001A1692" w:rsidRDefault="008D4D12" w:rsidP="001A1692">
            <w:pPr>
              <w:adjustRightInd w:val="0"/>
              <w:snapToGrid w:val="0"/>
              <w:jc w:val="center"/>
              <w:rPr>
                <w:rFonts w:ascii="宋体" w:hAnsi="宋体"/>
                <w:b/>
                <w:bCs/>
                <w:sz w:val="32"/>
                <w:szCs w:val="32"/>
              </w:rPr>
            </w:pPr>
            <w:r w:rsidRPr="001A1692">
              <w:rPr>
                <w:rFonts w:ascii="宋体" w:hAnsi="宋体" w:hint="eastAsia"/>
                <w:b/>
                <w:bCs/>
                <w:sz w:val="32"/>
                <w:szCs w:val="32"/>
              </w:rPr>
              <w:t>第十条 附则</w:t>
            </w:r>
          </w:p>
        </w:tc>
        <w:tc>
          <w:tcPr>
            <w:tcW w:w="7087" w:type="dxa"/>
          </w:tcPr>
          <w:p w:rsidR="008D4D12" w:rsidRPr="001A1692" w:rsidRDefault="008D4D12" w:rsidP="006C2214">
            <w:pPr>
              <w:adjustRightInd w:val="0"/>
              <w:snapToGrid w:val="0"/>
              <w:jc w:val="center"/>
              <w:rPr>
                <w:rFonts w:ascii="宋体" w:hAnsi="宋体"/>
                <w:b/>
                <w:bCs/>
                <w:sz w:val="32"/>
                <w:szCs w:val="32"/>
              </w:rPr>
            </w:pPr>
            <w:r w:rsidRPr="001A1692">
              <w:rPr>
                <w:rFonts w:ascii="宋体" w:hAnsi="宋体" w:hint="eastAsia"/>
                <w:b/>
                <w:bCs/>
                <w:sz w:val="32"/>
                <w:szCs w:val="32"/>
              </w:rPr>
              <w:t>第十条 附则</w:t>
            </w:r>
          </w:p>
        </w:tc>
        <w:tc>
          <w:tcPr>
            <w:tcW w:w="1843" w:type="dxa"/>
          </w:tcPr>
          <w:p w:rsidR="008D4D12" w:rsidRPr="00E03DD5" w:rsidRDefault="008D4D12" w:rsidP="00E03DD5">
            <w:pPr>
              <w:pStyle w:val="3"/>
              <w:keepNext w:val="0"/>
              <w:keepLines w:val="0"/>
              <w:spacing w:before="0" w:after="0" w:line="240" w:lineRule="auto"/>
              <w:jc w:val="left"/>
              <w:outlineLvl w:val="2"/>
              <w:rPr>
                <w:rFonts w:ascii="宋体" w:hAnsi="宋体" w:cs="Calibri"/>
                <w:sz w:val="18"/>
                <w:szCs w:val="18"/>
              </w:rPr>
            </w:pPr>
          </w:p>
        </w:tc>
      </w:tr>
      <w:tr w:rsidR="008D4D12" w:rsidRPr="0092098C" w:rsidTr="003B1405">
        <w:trPr>
          <w:jc w:val="center"/>
        </w:trPr>
        <w:tc>
          <w:tcPr>
            <w:tcW w:w="7089" w:type="dxa"/>
          </w:tcPr>
          <w:p w:rsidR="008D4D12" w:rsidRPr="001A1692" w:rsidRDefault="008D4D12" w:rsidP="001A1692">
            <w:pPr>
              <w:adjustRightInd w:val="0"/>
              <w:snapToGrid w:val="0"/>
              <w:rPr>
                <w:rFonts w:ascii="宋体" w:hAnsi="宋体"/>
                <w:bCs/>
                <w:sz w:val="18"/>
                <w:szCs w:val="18"/>
              </w:rPr>
            </w:pPr>
            <w:r w:rsidRPr="001A1692">
              <w:rPr>
                <w:rFonts w:ascii="宋体" w:hAnsi="宋体" w:hint="eastAsia"/>
                <w:bCs/>
                <w:sz w:val="18"/>
                <w:szCs w:val="18"/>
              </w:rPr>
              <w:t>无</w:t>
            </w:r>
          </w:p>
        </w:tc>
        <w:tc>
          <w:tcPr>
            <w:tcW w:w="7087" w:type="dxa"/>
          </w:tcPr>
          <w:p w:rsidR="008D4D12" w:rsidRPr="001A1692" w:rsidRDefault="008D4D12" w:rsidP="001A1692">
            <w:pPr>
              <w:adjustRightInd w:val="0"/>
              <w:snapToGrid w:val="0"/>
              <w:rPr>
                <w:rFonts w:ascii="宋体" w:hAnsi="宋体"/>
                <w:b/>
                <w:bCs/>
                <w:sz w:val="18"/>
                <w:szCs w:val="18"/>
              </w:rPr>
            </w:pPr>
            <w:r w:rsidRPr="001A1692">
              <w:rPr>
                <w:rFonts w:ascii="宋体" w:hAnsi="宋体" w:hint="eastAsia"/>
                <w:b/>
                <w:bCs/>
                <w:sz w:val="18"/>
                <w:szCs w:val="18"/>
              </w:rPr>
              <w:t>10.3本协议可采用电子方式、纸质方式签署。</w:t>
            </w:r>
          </w:p>
          <w:p w:rsidR="008D4D12" w:rsidRPr="001A1692" w:rsidRDefault="008D4D12" w:rsidP="001A1692">
            <w:pPr>
              <w:adjustRightInd w:val="0"/>
              <w:snapToGrid w:val="0"/>
              <w:rPr>
                <w:rFonts w:ascii="宋体" w:hAnsi="宋体"/>
                <w:b/>
                <w:bCs/>
                <w:sz w:val="18"/>
                <w:szCs w:val="18"/>
              </w:rPr>
            </w:pPr>
            <w:r w:rsidRPr="001A1692">
              <w:rPr>
                <w:rFonts w:ascii="宋体" w:hAnsi="宋体" w:hint="eastAsia"/>
                <w:b/>
                <w:bCs/>
                <w:sz w:val="18"/>
                <w:szCs w:val="18"/>
              </w:rPr>
              <w:t>采用电子方式签署的，甲方或甲方授权的代理人以电子签名方式签署后正式生效。甲方或甲方授权的代理人电子签名与在纸质合同上手写签名具有同等法律效力。</w:t>
            </w:r>
          </w:p>
          <w:p w:rsidR="008D4D12" w:rsidRPr="001A1692" w:rsidRDefault="008D4D12" w:rsidP="001A1692">
            <w:pPr>
              <w:adjustRightInd w:val="0"/>
              <w:snapToGrid w:val="0"/>
              <w:rPr>
                <w:rFonts w:ascii="宋体" w:hAnsi="宋体"/>
                <w:b/>
                <w:bCs/>
                <w:sz w:val="18"/>
                <w:szCs w:val="18"/>
              </w:rPr>
            </w:pPr>
            <w:r w:rsidRPr="001A1692">
              <w:rPr>
                <w:rFonts w:ascii="宋体" w:hAnsi="宋体" w:hint="eastAsia"/>
                <w:b/>
                <w:bCs/>
                <w:sz w:val="18"/>
                <w:szCs w:val="18"/>
              </w:rPr>
              <w:t>采用纸质方式签署的，本协议自双方签字并加盖公章或合同专用章后生效。协议应由甲方本人签署，如甲方为机构客户时，应由法定代表人或其授权代理人签署。本协议一式二份，甲乙双方各执一份，每份具备同等法律效力。</w:t>
            </w:r>
          </w:p>
        </w:tc>
        <w:tc>
          <w:tcPr>
            <w:tcW w:w="1843" w:type="dxa"/>
          </w:tcPr>
          <w:p w:rsidR="008D4D12" w:rsidRPr="00E03DD5" w:rsidRDefault="008D4D12"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本条新增。增加电子签署方面的约定。</w:t>
            </w:r>
          </w:p>
        </w:tc>
      </w:tr>
      <w:tr w:rsidR="008D4D12" w:rsidRPr="0092098C" w:rsidTr="003B1405">
        <w:trPr>
          <w:jc w:val="center"/>
        </w:trPr>
        <w:tc>
          <w:tcPr>
            <w:tcW w:w="7089" w:type="dxa"/>
          </w:tcPr>
          <w:p w:rsidR="008D4D12" w:rsidRPr="001A1692" w:rsidRDefault="008D4D12" w:rsidP="00C0661C">
            <w:pPr>
              <w:adjustRightInd w:val="0"/>
              <w:snapToGrid w:val="0"/>
              <w:jc w:val="left"/>
              <w:rPr>
                <w:rFonts w:ascii="宋体" w:hAnsi="宋体"/>
                <w:b/>
                <w:bCs/>
                <w:sz w:val="18"/>
                <w:szCs w:val="18"/>
                <w:u w:val="single"/>
              </w:rPr>
            </w:pPr>
            <w:r w:rsidRPr="001A1692">
              <w:rPr>
                <w:rFonts w:ascii="宋体" w:hAnsi="宋体" w:hint="eastAsia"/>
                <w:bCs/>
                <w:sz w:val="18"/>
                <w:szCs w:val="18"/>
                <w:u w:val="single"/>
              </w:rPr>
              <w:t>10.4</w:t>
            </w:r>
            <w:r w:rsidRPr="00C0661C">
              <w:rPr>
                <w:rFonts w:ascii="宋体" w:hAnsi="宋体" w:hint="eastAsia"/>
                <w:bCs/>
                <w:sz w:val="18"/>
                <w:szCs w:val="18"/>
                <w:u w:val="single"/>
              </w:rPr>
              <w:t>本协议自甲乙双方法定代表人或授权代表签字并加盖公章起生效。本协议有效期一年。</w:t>
            </w:r>
            <w:r w:rsidRPr="00C0661C">
              <w:rPr>
                <w:rFonts w:ascii="宋体" w:hAnsi="宋体" w:hint="eastAsia"/>
                <w:bCs/>
                <w:sz w:val="18"/>
                <w:szCs w:val="18"/>
              </w:rPr>
              <w:t>在协议期到期前一个月甲乙双方未书面通知对方到期终止协议的，协议有效期自动顺延一年，以此类推。</w:t>
            </w:r>
            <w:r w:rsidRPr="001A1692">
              <w:rPr>
                <w:rFonts w:ascii="宋体" w:hAnsi="宋体" w:hint="eastAsia"/>
                <w:bCs/>
                <w:sz w:val="18"/>
                <w:szCs w:val="18"/>
                <w:u w:val="single"/>
              </w:rPr>
              <w:t>本协议一式二份，甲乙双方各执一份，每份具备同等法律效力。</w:t>
            </w:r>
          </w:p>
        </w:tc>
        <w:tc>
          <w:tcPr>
            <w:tcW w:w="7087" w:type="dxa"/>
          </w:tcPr>
          <w:p w:rsidR="008D4D12" w:rsidRPr="00C0661C" w:rsidRDefault="008D4D12" w:rsidP="00C0661C">
            <w:pPr>
              <w:adjustRightInd w:val="0"/>
              <w:snapToGrid w:val="0"/>
              <w:jc w:val="left"/>
              <w:rPr>
                <w:rFonts w:ascii="宋体" w:hAnsi="宋体"/>
                <w:bCs/>
                <w:sz w:val="18"/>
                <w:szCs w:val="18"/>
              </w:rPr>
            </w:pPr>
            <w:r w:rsidRPr="00C0661C">
              <w:rPr>
                <w:rFonts w:ascii="宋体" w:hAnsi="宋体" w:hint="eastAsia"/>
                <w:bCs/>
                <w:sz w:val="18"/>
                <w:szCs w:val="18"/>
              </w:rPr>
              <w:t>10.4在协议期到期前一个月甲乙双方未书面通知对方到期终止协议的，协议有效期自动顺延一年，以此类推。</w:t>
            </w:r>
          </w:p>
        </w:tc>
        <w:tc>
          <w:tcPr>
            <w:tcW w:w="1843" w:type="dxa"/>
          </w:tcPr>
          <w:p w:rsidR="008D4D12" w:rsidRPr="00E03DD5" w:rsidRDefault="008D4D12" w:rsidP="00E03DD5">
            <w:pPr>
              <w:pStyle w:val="3"/>
              <w:keepNext w:val="0"/>
              <w:keepLines w:val="0"/>
              <w:spacing w:before="0" w:after="0" w:line="240" w:lineRule="auto"/>
              <w:jc w:val="left"/>
              <w:outlineLvl w:val="2"/>
              <w:rPr>
                <w:rFonts w:ascii="宋体" w:hAnsi="宋体" w:cs="Calibri"/>
                <w:sz w:val="18"/>
                <w:szCs w:val="18"/>
              </w:rPr>
            </w:pPr>
            <w:r w:rsidRPr="00E03DD5">
              <w:rPr>
                <w:rFonts w:ascii="宋体" w:hAnsi="宋体" w:cs="Calibri" w:hint="eastAsia"/>
                <w:sz w:val="18"/>
                <w:szCs w:val="18"/>
              </w:rPr>
              <w:t>删除的内容并入第10.3条中。</w:t>
            </w:r>
          </w:p>
        </w:tc>
      </w:tr>
    </w:tbl>
    <w:p w:rsidR="002A2C8E" w:rsidRPr="00E9272C" w:rsidRDefault="002A2C8E" w:rsidP="003167BE">
      <w:pPr>
        <w:pStyle w:val="3"/>
        <w:keepNext w:val="0"/>
        <w:keepLines w:val="0"/>
        <w:spacing w:before="0" w:after="0" w:line="240" w:lineRule="auto"/>
        <w:jc w:val="left"/>
        <w:rPr>
          <w:rFonts w:ascii="宋体"/>
        </w:rPr>
      </w:pPr>
    </w:p>
    <w:sectPr w:rsidR="002A2C8E" w:rsidRPr="00E9272C" w:rsidSect="00862049">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98" w:rsidRDefault="00AE5998" w:rsidP="00063917">
      <w:r>
        <w:separator/>
      </w:r>
    </w:p>
  </w:endnote>
  <w:endnote w:type="continuationSeparator" w:id="0">
    <w:p w:rsidR="00AE5998" w:rsidRDefault="00AE5998" w:rsidP="0006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76"/>
      <w:docPartObj>
        <w:docPartGallery w:val="Page Numbers (Bottom of Page)"/>
        <w:docPartUnique/>
      </w:docPartObj>
    </w:sdtPr>
    <w:sdtContent>
      <w:p w:rsidR="00E7759A" w:rsidRDefault="00804B8C">
        <w:pPr>
          <w:pStyle w:val="a6"/>
          <w:jc w:val="center"/>
        </w:pPr>
        <w:fldSimple w:instr=" PAGE   \* MERGEFORMAT ">
          <w:r w:rsidR="00B6046B" w:rsidRPr="00B6046B">
            <w:rPr>
              <w:noProof/>
              <w:lang w:val="zh-CN"/>
            </w:rPr>
            <w:t>2</w:t>
          </w:r>
        </w:fldSimple>
      </w:p>
    </w:sdtContent>
  </w:sdt>
  <w:p w:rsidR="00E7759A" w:rsidRDefault="00E775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98" w:rsidRDefault="00AE5998" w:rsidP="00063917">
      <w:r>
        <w:separator/>
      </w:r>
    </w:p>
  </w:footnote>
  <w:footnote w:type="continuationSeparator" w:id="0">
    <w:p w:rsidR="00AE5998" w:rsidRDefault="00AE5998" w:rsidP="0006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1E37797"/>
    <w:multiLevelType w:val="hybridMultilevel"/>
    <w:tmpl w:val="7852744A"/>
    <w:lvl w:ilvl="0" w:tplc="172A2F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7B7C59"/>
    <w:multiLevelType w:val="hybridMultilevel"/>
    <w:tmpl w:val="79ECE7D0"/>
    <w:lvl w:ilvl="0" w:tplc="7B74B87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4523128"/>
    <w:multiLevelType w:val="hybridMultilevel"/>
    <w:tmpl w:val="1A84819A"/>
    <w:lvl w:ilvl="0" w:tplc="04090013">
      <w:start w:val="1"/>
      <w:numFmt w:val="chineseCountingThousand"/>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16CA7930"/>
    <w:multiLevelType w:val="hybridMultilevel"/>
    <w:tmpl w:val="96B63AB0"/>
    <w:lvl w:ilvl="0" w:tplc="4D702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833ED7"/>
    <w:multiLevelType w:val="hybridMultilevel"/>
    <w:tmpl w:val="1EA02A22"/>
    <w:lvl w:ilvl="0" w:tplc="D99CB8F2">
      <w:start w:val="1"/>
      <w:numFmt w:val="chineseCountingThousand"/>
      <w:lvlText w:val="第%1条"/>
      <w:lvlJc w:val="left"/>
      <w:pPr>
        <w:tabs>
          <w:tab w:val="num" w:pos="1216"/>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nsid w:val="1D1F589C"/>
    <w:multiLevelType w:val="hybridMultilevel"/>
    <w:tmpl w:val="11C89F8A"/>
    <w:lvl w:ilvl="0" w:tplc="A83C9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A10B65"/>
    <w:multiLevelType w:val="hybridMultilevel"/>
    <w:tmpl w:val="859E94C8"/>
    <w:lvl w:ilvl="0" w:tplc="736676E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F0C0C98"/>
    <w:multiLevelType w:val="hybridMultilevel"/>
    <w:tmpl w:val="7CB0E3A6"/>
    <w:lvl w:ilvl="0" w:tplc="2E643B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7C787B"/>
    <w:multiLevelType w:val="hybridMultilevel"/>
    <w:tmpl w:val="7C02B69E"/>
    <w:lvl w:ilvl="0" w:tplc="E578C6CC">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947F3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5AEB2846"/>
    <w:multiLevelType w:val="hybridMultilevel"/>
    <w:tmpl w:val="7D906600"/>
    <w:lvl w:ilvl="0" w:tplc="FD2294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5D136649"/>
    <w:multiLevelType w:val="hybridMultilevel"/>
    <w:tmpl w:val="593011D2"/>
    <w:lvl w:ilvl="0" w:tplc="554C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473681"/>
    <w:multiLevelType w:val="hybridMultilevel"/>
    <w:tmpl w:val="65700FB4"/>
    <w:lvl w:ilvl="0" w:tplc="A3E86F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400B9D"/>
    <w:multiLevelType w:val="hybridMultilevel"/>
    <w:tmpl w:val="3270629C"/>
    <w:lvl w:ilvl="0" w:tplc="6A76C9C6">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66CC6255"/>
    <w:multiLevelType w:val="hybridMultilevel"/>
    <w:tmpl w:val="BC046E84"/>
    <w:lvl w:ilvl="0" w:tplc="45505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A465C2F"/>
    <w:multiLevelType w:val="hybridMultilevel"/>
    <w:tmpl w:val="892E1FE8"/>
    <w:lvl w:ilvl="0" w:tplc="C2B891BE">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9">
    <w:nsid w:val="6B277C67"/>
    <w:multiLevelType w:val="hybridMultilevel"/>
    <w:tmpl w:val="3B301D1A"/>
    <w:lvl w:ilvl="0" w:tplc="A29A62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1">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1"/>
  </w:num>
  <w:num w:numId="2">
    <w:abstractNumId w:val="0"/>
  </w:num>
  <w:num w:numId="3">
    <w:abstractNumId w:val="12"/>
  </w:num>
  <w:num w:numId="4">
    <w:abstractNumId w:val="6"/>
  </w:num>
  <w:num w:numId="5">
    <w:abstractNumId w:val="1"/>
  </w:num>
  <w:num w:numId="6">
    <w:abstractNumId w:val="9"/>
  </w:num>
  <w:num w:numId="7">
    <w:abstractNumId w:val="20"/>
  </w:num>
  <w:num w:numId="8">
    <w:abstractNumId w:val="18"/>
  </w:num>
  <w:num w:numId="9">
    <w:abstractNumId w:val="7"/>
  </w:num>
  <w:num w:numId="10">
    <w:abstractNumId w:val="8"/>
  </w:num>
  <w:num w:numId="11">
    <w:abstractNumId w:val="19"/>
  </w:num>
  <w:num w:numId="12">
    <w:abstractNumId w:val="16"/>
  </w:num>
  <w:num w:numId="13">
    <w:abstractNumId w:val="13"/>
  </w:num>
  <w:num w:numId="14">
    <w:abstractNumId w:val="5"/>
  </w:num>
  <w:num w:numId="15">
    <w:abstractNumId w:val="3"/>
  </w:num>
  <w:num w:numId="16">
    <w:abstractNumId w:val="17"/>
  </w:num>
  <w:num w:numId="17">
    <w:abstractNumId w:val="14"/>
  </w:num>
  <w:num w:numId="18">
    <w:abstractNumId w:val="4"/>
  </w:num>
  <w:num w:numId="19">
    <w:abstractNumId w:val="11"/>
  </w:num>
  <w:num w:numId="20">
    <w:abstractNumId w:val="10"/>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72C"/>
    <w:rsid w:val="00005519"/>
    <w:rsid w:val="0000746D"/>
    <w:rsid w:val="00014351"/>
    <w:rsid w:val="0002110F"/>
    <w:rsid w:val="000264DD"/>
    <w:rsid w:val="00036BE1"/>
    <w:rsid w:val="00040678"/>
    <w:rsid w:val="00055816"/>
    <w:rsid w:val="000559FC"/>
    <w:rsid w:val="00055E9A"/>
    <w:rsid w:val="00060755"/>
    <w:rsid w:val="00063917"/>
    <w:rsid w:val="00065511"/>
    <w:rsid w:val="00065F08"/>
    <w:rsid w:val="0008214E"/>
    <w:rsid w:val="00085069"/>
    <w:rsid w:val="0008611B"/>
    <w:rsid w:val="00093C91"/>
    <w:rsid w:val="000A08A2"/>
    <w:rsid w:val="000A3FCC"/>
    <w:rsid w:val="000A77A8"/>
    <w:rsid w:val="000C3249"/>
    <w:rsid w:val="000C3A95"/>
    <w:rsid w:val="000C3BC3"/>
    <w:rsid w:val="000C3E6B"/>
    <w:rsid w:val="000C4BCA"/>
    <w:rsid w:val="000C7861"/>
    <w:rsid w:val="000D5833"/>
    <w:rsid w:val="000D63DC"/>
    <w:rsid w:val="000E240B"/>
    <w:rsid w:val="000E2723"/>
    <w:rsid w:val="000E46AA"/>
    <w:rsid w:val="000E5544"/>
    <w:rsid w:val="000E7BDF"/>
    <w:rsid w:val="000F295B"/>
    <w:rsid w:val="001109A5"/>
    <w:rsid w:val="00113263"/>
    <w:rsid w:val="00115D8F"/>
    <w:rsid w:val="001240E6"/>
    <w:rsid w:val="00124FD8"/>
    <w:rsid w:val="00125D69"/>
    <w:rsid w:val="00126C03"/>
    <w:rsid w:val="00136199"/>
    <w:rsid w:val="00140145"/>
    <w:rsid w:val="00142D9A"/>
    <w:rsid w:val="00145182"/>
    <w:rsid w:val="001454FC"/>
    <w:rsid w:val="00146A05"/>
    <w:rsid w:val="001567C7"/>
    <w:rsid w:val="00156AF3"/>
    <w:rsid w:val="001578AF"/>
    <w:rsid w:val="00161B9C"/>
    <w:rsid w:val="00165A6B"/>
    <w:rsid w:val="001748B3"/>
    <w:rsid w:val="0017539D"/>
    <w:rsid w:val="00197454"/>
    <w:rsid w:val="001A1692"/>
    <w:rsid w:val="001A66AD"/>
    <w:rsid w:val="001B04E5"/>
    <w:rsid w:val="001B114C"/>
    <w:rsid w:val="001B3FBB"/>
    <w:rsid w:val="001C3C4D"/>
    <w:rsid w:val="001C514B"/>
    <w:rsid w:val="001C5F46"/>
    <w:rsid w:val="001D26E8"/>
    <w:rsid w:val="001E29A7"/>
    <w:rsid w:val="001E7E8F"/>
    <w:rsid w:val="00204ECB"/>
    <w:rsid w:val="00205145"/>
    <w:rsid w:val="00212E59"/>
    <w:rsid w:val="002162BE"/>
    <w:rsid w:val="00220630"/>
    <w:rsid w:val="002207C4"/>
    <w:rsid w:val="00220A87"/>
    <w:rsid w:val="00237E21"/>
    <w:rsid w:val="00247D37"/>
    <w:rsid w:val="002515CD"/>
    <w:rsid w:val="00262AF6"/>
    <w:rsid w:val="00262C36"/>
    <w:rsid w:val="00270669"/>
    <w:rsid w:val="0027131E"/>
    <w:rsid w:val="00271C58"/>
    <w:rsid w:val="00273DD9"/>
    <w:rsid w:val="002760D7"/>
    <w:rsid w:val="002805B7"/>
    <w:rsid w:val="002A2C8E"/>
    <w:rsid w:val="002A2F68"/>
    <w:rsid w:val="002B1450"/>
    <w:rsid w:val="002B1FEB"/>
    <w:rsid w:val="002B2CC3"/>
    <w:rsid w:val="002B7C20"/>
    <w:rsid w:val="002B7DE4"/>
    <w:rsid w:val="002C0B71"/>
    <w:rsid w:val="002D2683"/>
    <w:rsid w:val="002D4163"/>
    <w:rsid w:val="002E091A"/>
    <w:rsid w:val="002F3FBF"/>
    <w:rsid w:val="002F66CE"/>
    <w:rsid w:val="002F7925"/>
    <w:rsid w:val="0030305C"/>
    <w:rsid w:val="003074AA"/>
    <w:rsid w:val="003162BB"/>
    <w:rsid w:val="003167BE"/>
    <w:rsid w:val="00323DBF"/>
    <w:rsid w:val="00324FD6"/>
    <w:rsid w:val="00340952"/>
    <w:rsid w:val="00340B7B"/>
    <w:rsid w:val="00343CD4"/>
    <w:rsid w:val="003465F9"/>
    <w:rsid w:val="003526CA"/>
    <w:rsid w:val="0035281E"/>
    <w:rsid w:val="00360DDD"/>
    <w:rsid w:val="00361E5A"/>
    <w:rsid w:val="003636A2"/>
    <w:rsid w:val="00364574"/>
    <w:rsid w:val="003672D1"/>
    <w:rsid w:val="00373392"/>
    <w:rsid w:val="003821A8"/>
    <w:rsid w:val="003841D4"/>
    <w:rsid w:val="00386792"/>
    <w:rsid w:val="00391928"/>
    <w:rsid w:val="00395F07"/>
    <w:rsid w:val="003974BD"/>
    <w:rsid w:val="003A0D59"/>
    <w:rsid w:val="003A689E"/>
    <w:rsid w:val="003A6E00"/>
    <w:rsid w:val="003B0F6C"/>
    <w:rsid w:val="003B1405"/>
    <w:rsid w:val="003C2C99"/>
    <w:rsid w:val="003E6F1E"/>
    <w:rsid w:val="003F010C"/>
    <w:rsid w:val="003F0185"/>
    <w:rsid w:val="0040186A"/>
    <w:rsid w:val="00405EBE"/>
    <w:rsid w:val="00407AFA"/>
    <w:rsid w:val="00421818"/>
    <w:rsid w:val="00426DCD"/>
    <w:rsid w:val="00434BDD"/>
    <w:rsid w:val="00434F7A"/>
    <w:rsid w:val="00437CB2"/>
    <w:rsid w:val="00441BED"/>
    <w:rsid w:val="00441F04"/>
    <w:rsid w:val="00445585"/>
    <w:rsid w:val="00446E86"/>
    <w:rsid w:val="0045009A"/>
    <w:rsid w:val="00471D91"/>
    <w:rsid w:val="00477A04"/>
    <w:rsid w:val="00482255"/>
    <w:rsid w:val="004837DC"/>
    <w:rsid w:val="004B1972"/>
    <w:rsid w:val="004B4E62"/>
    <w:rsid w:val="004C0E2B"/>
    <w:rsid w:val="004D2CCE"/>
    <w:rsid w:val="004D42CD"/>
    <w:rsid w:val="004D4368"/>
    <w:rsid w:val="004D475A"/>
    <w:rsid w:val="004D7F80"/>
    <w:rsid w:val="004E2AD7"/>
    <w:rsid w:val="004E3552"/>
    <w:rsid w:val="004E4722"/>
    <w:rsid w:val="004E690D"/>
    <w:rsid w:val="004F2FE0"/>
    <w:rsid w:val="004F6DFA"/>
    <w:rsid w:val="004F7049"/>
    <w:rsid w:val="00500384"/>
    <w:rsid w:val="00504EEE"/>
    <w:rsid w:val="00511CE1"/>
    <w:rsid w:val="0052723B"/>
    <w:rsid w:val="00532E54"/>
    <w:rsid w:val="00533C02"/>
    <w:rsid w:val="00537646"/>
    <w:rsid w:val="00537C2A"/>
    <w:rsid w:val="005415B8"/>
    <w:rsid w:val="00544C76"/>
    <w:rsid w:val="005466CC"/>
    <w:rsid w:val="00546B8E"/>
    <w:rsid w:val="00552284"/>
    <w:rsid w:val="00553AAA"/>
    <w:rsid w:val="00555196"/>
    <w:rsid w:val="00557A0B"/>
    <w:rsid w:val="00575974"/>
    <w:rsid w:val="00580439"/>
    <w:rsid w:val="005815F0"/>
    <w:rsid w:val="005836C6"/>
    <w:rsid w:val="00586212"/>
    <w:rsid w:val="00587439"/>
    <w:rsid w:val="0058743A"/>
    <w:rsid w:val="00593EDF"/>
    <w:rsid w:val="00596A6B"/>
    <w:rsid w:val="005A161A"/>
    <w:rsid w:val="005A1F2F"/>
    <w:rsid w:val="005B055A"/>
    <w:rsid w:val="005B3A06"/>
    <w:rsid w:val="005C0580"/>
    <w:rsid w:val="005C078A"/>
    <w:rsid w:val="005C2FB7"/>
    <w:rsid w:val="005C532C"/>
    <w:rsid w:val="005C69C2"/>
    <w:rsid w:val="005D5BD3"/>
    <w:rsid w:val="005F23AE"/>
    <w:rsid w:val="005F70EA"/>
    <w:rsid w:val="005F7709"/>
    <w:rsid w:val="005F7939"/>
    <w:rsid w:val="006213E9"/>
    <w:rsid w:val="00621D46"/>
    <w:rsid w:val="006230DC"/>
    <w:rsid w:val="00626457"/>
    <w:rsid w:val="006322E4"/>
    <w:rsid w:val="006365F5"/>
    <w:rsid w:val="00636D03"/>
    <w:rsid w:val="00647770"/>
    <w:rsid w:val="00650C47"/>
    <w:rsid w:val="00654E41"/>
    <w:rsid w:val="006608E8"/>
    <w:rsid w:val="00660EA4"/>
    <w:rsid w:val="00673A3A"/>
    <w:rsid w:val="006755C3"/>
    <w:rsid w:val="00684354"/>
    <w:rsid w:val="00686E6E"/>
    <w:rsid w:val="006A21E5"/>
    <w:rsid w:val="006A5B20"/>
    <w:rsid w:val="006B3F98"/>
    <w:rsid w:val="006B4FF6"/>
    <w:rsid w:val="006C0EFB"/>
    <w:rsid w:val="006C396C"/>
    <w:rsid w:val="006C446D"/>
    <w:rsid w:val="006C6D70"/>
    <w:rsid w:val="006C7DA8"/>
    <w:rsid w:val="006C7F93"/>
    <w:rsid w:val="006E1E9D"/>
    <w:rsid w:val="006E40DF"/>
    <w:rsid w:val="006E72C2"/>
    <w:rsid w:val="006F6A9F"/>
    <w:rsid w:val="007048EC"/>
    <w:rsid w:val="00704AD4"/>
    <w:rsid w:val="00705FAF"/>
    <w:rsid w:val="007106C9"/>
    <w:rsid w:val="00712FD2"/>
    <w:rsid w:val="0071721B"/>
    <w:rsid w:val="007217BB"/>
    <w:rsid w:val="0072417F"/>
    <w:rsid w:val="00756E5C"/>
    <w:rsid w:val="007574C5"/>
    <w:rsid w:val="00761741"/>
    <w:rsid w:val="00771A1B"/>
    <w:rsid w:val="0077272D"/>
    <w:rsid w:val="007730DF"/>
    <w:rsid w:val="0077393A"/>
    <w:rsid w:val="00777E29"/>
    <w:rsid w:val="00785276"/>
    <w:rsid w:val="007915D7"/>
    <w:rsid w:val="00791BDA"/>
    <w:rsid w:val="0079218A"/>
    <w:rsid w:val="007A7696"/>
    <w:rsid w:val="007C60C2"/>
    <w:rsid w:val="007D29F9"/>
    <w:rsid w:val="007E132A"/>
    <w:rsid w:val="007E6004"/>
    <w:rsid w:val="007F225B"/>
    <w:rsid w:val="00804B8C"/>
    <w:rsid w:val="008112AF"/>
    <w:rsid w:val="0081179A"/>
    <w:rsid w:val="00813454"/>
    <w:rsid w:val="00815B4B"/>
    <w:rsid w:val="00821774"/>
    <w:rsid w:val="008263DE"/>
    <w:rsid w:val="008278CE"/>
    <w:rsid w:val="00827932"/>
    <w:rsid w:val="00831472"/>
    <w:rsid w:val="00835ED6"/>
    <w:rsid w:val="008467DC"/>
    <w:rsid w:val="00862049"/>
    <w:rsid w:val="00862E3E"/>
    <w:rsid w:val="008651CA"/>
    <w:rsid w:val="00865F5A"/>
    <w:rsid w:val="008745B5"/>
    <w:rsid w:val="008757E0"/>
    <w:rsid w:val="00875C60"/>
    <w:rsid w:val="0088445F"/>
    <w:rsid w:val="008902A3"/>
    <w:rsid w:val="008A608B"/>
    <w:rsid w:val="008A71C5"/>
    <w:rsid w:val="008A729C"/>
    <w:rsid w:val="008B699D"/>
    <w:rsid w:val="008B6B99"/>
    <w:rsid w:val="008C0098"/>
    <w:rsid w:val="008C5F6D"/>
    <w:rsid w:val="008D2A1C"/>
    <w:rsid w:val="008D42C5"/>
    <w:rsid w:val="008D4D12"/>
    <w:rsid w:val="008E301D"/>
    <w:rsid w:val="008E74C0"/>
    <w:rsid w:val="008F1E4D"/>
    <w:rsid w:val="008F5669"/>
    <w:rsid w:val="0090335C"/>
    <w:rsid w:val="009058F0"/>
    <w:rsid w:val="00912C88"/>
    <w:rsid w:val="0091390A"/>
    <w:rsid w:val="00914128"/>
    <w:rsid w:val="0092098C"/>
    <w:rsid w:val="009217E2"/>
    <w:rsid w:val="00927774"/>
    <w:rsid w:val="00927F62"/>
    <w:rsid w:val="00930EFA"/>
    <w:rsid w:val="0093130F"/>
    <w:rsid w:val="00937D29"/>
    <w:rsid w:val="00944E59"/>
    <w:rsid w:val="00945B2C"/>
    <w:rsid w:val="00947B29"/>
    <w:rsid w:val="009514A1"/>
    <w:rsid w:val="009540FA"/>
    <w:rsid w:val="00960299"/>
    <w:rsid w:val="0096086F"/>
    <w:rsid w:val="00960AC3"/>
    <w:rsid w:val="009655EF"/>
    <w:rsid w:val="00967AB4"/>
    <w:rsid w:val="00970A7E"/>
    <w:rsid w:val="00991A2B"/>
    <w:rsid w:val="00995FDE"/>
    <w:rsid w:val="00997D5C"/>
    <w:rsid w:val="009A5111"/>
    <w:rsid w:val="009A7E9E"/>
    <w:rsid w:val="009C1A06"/>
    <w:rsid w:val="009C22C2"/>
    <w:rsid w:val="009D2600"/>
    <w:rsid w:val="009E4053"/>
    <w:rsid w:val="009E6B38"/>
    <w:rsid w:val="00A02F9B"/>
    <w:rsid w:val="00A075F9"/>
    <w:rsid w:val="00A07A70"/>
    <w:rsid w:val="00A102D6"/>
    <w:rsid w:val="00A203C8"/>
    <w:rsid w:val="00A2546F"/>
    <w:rsid w:val="00A4289B"/>
    <w:rsid w:val="00A46FDF"/>
    <w:rsid w:val="00A51B6E"/>
    <w:rsid w:val="00A64EFA"/>
    <w:rsid w:val="00A80A4A"/>
    <w:rsid w:val="00A85430"/>
    <w:rsid w:val="00A93FDF"/>
    <w:rsid w:val="00A942C4"/>
    <w:rsid w:val="00AA34D5"/>
    <w:rsid w:val="00AA3A60"/>
    <w:rsid w:val="00AB0765"/>
    <w:rsid w:val="00AB1600"/>
    <w:rsid w:val="00AB2563"/>
    <w:rsid w:val="00AB6B8F"/>
    <w:rsid w:val="00AC5B2B"/>
    <w:rsid w:val="00AC757C"/>
    <w:rsid w:val="00AE28F2"/>
    <w:rsid w:val="00AE5998"/>
    <w:rsid w:val="00AE7ACB"/>
    <w:rsid w:val="00AF2B52"/>
    <w:rsid w:val="00AF543C"/>
    <w:rsid w:val="00B017F5"/>
    <w:rsid w:val="00B3212F"/>
    <w:rsid w:val="00B40F6E"/>
    <w:rsid w:val="00B4363E"/>
    <w:rsid w:val="00B459A3"/>
    <w:rsid w:val="00B6046B"/>
    <w:rsid w:val="00B6138A"/>
    <w:rsid w:val="00B63A95"/>
    <w:rsid w:val="00B67BEC"/>
    <w:rsid w:val="00B804F9"/>
    <w:rsid w:val="00B84598"/>
    <w:rsid w:val="00B877EF"/>
    <w:rsid w:val="00B91CC2"/>
    <w:rsid w:val="00B93960"/>
    <w:rsid w:val="00B95329"/>
    <w:rsid w:val="00BA334E"/>
    <w:rsid w:val="00BB0D0F"/>
    <w:rsid w:val="00BB2EC5"/>
    <w:rsid w:val="00BD0D2A"/>
    <w:rsid w:val="00BE365F"/>
    <w:rsid w:val="00BE6703"/>
    <w:rsid w:val="00BF4193"/>
    <w:rsid w:val="00BF7CD4"/>
    <w:rsid w:val="00C0661C"/>
    <w:rsid w:val="00C1104A"/>
    <w:rsid w:val="00C2058D"/>
    <w:rsid w:val="00C228CA"/>
    <w:rsid w:val="00C230C7"/>
    <w:rsid w:val="00C27EE6"/>
    <w:rsid w:val="00C37103"/>
    <w:rsid w:val="00C51659"/>
    <w:rsid w:val="00C610B8"/>
    <w:rsid w:val="00C7007F"/>
    <w:rsid w:val="00C71B6E"/>
    <w:rsid w:val="00C72BD8"/>
    <w:rsid w:val="00C833B3"/>
    <w:rsid w:val="00C83FF5"/>
    <w:rsid w:val="00C87336"/>
    <w:rsid w:val="00C92AD4"/>
    <w:rsid w:val="00C942BF"/>
    <w:rsid w:val="00CA46A0"/>
    <w:rsid w:val="00CB1236"/>
    <w:rsid w:val="00CB4AEC"/>
    <w:rsid w:val="00CC1677"/>
    <w:rsid w:val="00CC3F34"/>
    <w:rsid w:val="00CC4623"/>
    <w:rsid w:val="00CD22E0"/>
    <w:rsid w:val="00CD39E4"/>
    <w:rsid w:val="00CE7AAD"/>
    <w:rsid w:val="00CF0E68"/>
    <w:rsid w:val="00CF0F13"/>
    <w:rsid w:val="00CF32EC"/>
    <w:rsid w:val="00CF4EED"/>
    <w:rsid w:val="00D144FA"/>
    <w:rsid w:val="00D20ACC"/>
    <w:rsid w:val="00D33663"/>
    <w:rsid w:val="00D42B62"/>
    <w:rsid w:val="00D45C96"/>
    <w:rsid w:val="00D53153"/>
    <w:rsid w:val="00D619B3"/>
    <w:rsid w:val="00D628DC"/>
    <w:rsid w:val="00D7057F"/>
    <w:rsid w:val="00D73AD2"/>
    <w:rsid w:val="00D742B9"/>
    <w:rsid w:val="00D82754"/>
    <w:rsid w:val="00D864E0"/>
    <w:rsid w:val="00D94CEE"/>
    <w:rsid w:val="00D97441"/>
    <w:rsid w:val="00DA0E78"/>
    <w:rsid w:val="00DA3A7A"/>
    <w:rsid w:val="00DA4A2B"/>
    <w:rsid w:val="00DB044A"/>
    <w:rsid w:val="00DB1119"/>
    <w:rsid w:val="00DB3F09"/>
    <w:rsid w:val="00DC01ED"/>
    <w:rsid w:val="00DC41EC"/>
    <w:rsid w:val="00DC5195"/>
    <w:rsid w:val="00DD6A55"/>
    <w:rsid w:val="00DE6E5A"/>
    <w:rsid w:val="00E007D5"/>
    <w:rsid w:val="00E011BD"/>
    <w:rsid w:val="00E03DD5"/>
    <w:rsid w:val="00E10A23"/>
    <w:rsid w:val="00E12472"/>
    <w:rsid w:val="00E13DCF"/>
    <w:rsid w:val="00E15092"/>
    <w:rsid w:val="00E179C2"/>
    <w:rsid w:val="00E205D8"/>
    <w:rsid w:val="00E20694"/>
    <w:rsid w:val="00E22D11"/>
    <w:rsid w:val="00E24398"/>
    <w:rsid w:val="00E36617"/>
    <w:rsid w:val="00E37AA3"/>
    <w:rsid w:val="00E45380"/>
    <w:rsid w:val="00E4686A"/>
    <w:rsid w:val="00E51C44"/>
    <w:rsid w:val="00E54A52"/>
    <w:rsid w:val="00E67C82"/>
    <w:rsid w:val="00E74046"/>
    <w:rsid w:val="00E7693E"/>
    <w:rsid w:val="00E7759A"/>
    <w:rsid w:val="00E85F34"/>
    <w:rsid w:val="00E9272C"/>
    <w:rsid w:val="00E9574A"/>
    <w:rsid w:val="00EA1F34"/>
    <w:rsid w:val="00EA7805"/>
    <w:rsid w:val="00EC1BAA"/>
    <w:rsid w:val="00EC6E1D"/>
    <w:rsid w:val="00ED26FA"/>
    <w:rsid w:val="00EE1113"/>
    <w:rsid w:val="00EE29A1"/>
    <w:rsid w:val="00F03848"/>
    <w:rsid w:val="00F07F74"/>
    <w:rsid w:val="00F1410C"/>
    <w:rsid w:val="00F147CD"/>
    <w:rsid w:val="00F1650F"/>
    <w:rsid w:val="00F224A4"/>
    <w:rsid w:val="00F25A99"/>
    <w:rsid w:val="00F31395"/>
    <w:rsid w:val="00F32ACE"/>
    <w:rsid w:val="00F4493E"/>
    <w:rsid w:val="00F5103B"/>
    <w:rsid w:val="00F51421"/>
    <w:rsid w:val="00F65C67"/>
    <w:rsid w:val="00F67232"/>
    <w:rsid w:val="00F712B3"/>
    <w:rsid w:val="00F7348C"/>
    <w:rsid w:val="00F74021"/>
    <w:rsid w:val="00F778FE"/>
    <w:rsid w:val="00F81735"/>
    <w:rsid w:val="00F82D76"/>
    <w:rsid w:val="00F83F9D"/>
    <w:rsid w:val="00F9296A"/>
    <w:rsid w:val="00FA076F"/>
    <w:rsid w:val="00FB6398"/>
    <w:rsid w:val="00FC1E24"/>
    <w:rsid w:val="00FC406D"/>
    <w:rsid w:val="00FC43FE"/>
    <w:rsid w:val="00FD3575"/>
    <w:rsid w:val="00FE1D4A"/>
    <w:rsid w:val="00FF1D7E"/>
    <w:rsid w:val="00FF4404"/>
    <w:rsid w:val="00FF4BD6"/>
    <w:rsid w:val="00FF5464"/>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2C"/>
    <w:pPr>
      <w:widowControl w:val="0"/>
      <w:spacing w:line="240" w:lineRule="auto"/>
    </w:pPr>
    <w:rPr>
      <w:rFonts w:ascii="Calibri" w:eastAsia="宋体" w:hAnsi="Calibri" w:cs="Calibri"/>
      <w:szCs w:val="21"/>
    </w:rPr>
  </w:style>
  <w:style w:type="paragraph" w:styleId="2">
    <w:name w:val="heading 2"/>
    <w:basedOn w:val="a"/>
    <w:next w:val="a"/>
    <w:link w:val="2Char"/>
    <w:uiPriority w:val="9"/>
    <w:semiHidden/>
    <w:unhideWhenUsed/>
    <w:qFormat/>
    <w:rsid w:val="00947B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E9272C"/>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semiHidden/>
    <w:unhideWhenUsed/>
    <w:qFormat/>
    <w:rsid w:val="003F01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E9272C"/>
    <w:rPr>
      <w:rFonts w:ascii="Times New Roman" w:eastAsia="宋体" w:hAnsi="Times New Roman" w:cs="Times New Roman"/>
      <w:b/>
      <w:bCs/>
      <w:sz w:val="32"/>
      <w:szCs w:val="32"/>
    </w:rPr>
  </w:style>
  <w:style w:type="table" w:styleId="a3">
    <w:name w:val="Table Grid"/>
    <w:basedOn w:val="a1"/>
    <w:rsid w:val="00B845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74046"/>
    <w:pPr>
      <w:ind w:firstLineChars="200" w:firstLine="420"/>
    </w:pPr>
    <w:rPr>
      <w:rFonts w:ascii="Times New Roman" w:hAnsi="Times New Roman" w:cs="Times New Roman"/>
      <w:szCs w:val="24"/>
    </w:rPr>
  </w:style>
  <w:style w:type="paragraph" w:styleId="a4">
    <w:name w:val="Plain Text"/>
    <w:basedOn w:val="a"/>
    <w:link w:val="Char"/>
    <w:rsid w:val="00813454"/>
    <w:rPr>
      <w:rFonts w:ascii="宋体" w:hAnsi="Courier New" w:cs="Times New Roman"/>
    </w:rPr>
  </w:style>
  <w:style w:type="character" w:customStyle="1" w:styleId="Char">
    <w:name w:val="纯文本 Char"/>
    <w:basedOn w:val="a0"/>
    <w:link w:val="a4"/>
    <w:rsid w:val="00813454"/>
    <w:rPr>
      <w:rFonts w:ascii="宋体" w:eastAsia="宋体" w:hAnsi="Courier New" w:cs="Times New Roman"/>
      <w:szCs w:val="21"/>
    </w:rPr>
  </w:style>
  <w:style w:type="paragraph" w:styleId="a5">
    <w:name w:val="header"/>
    <w:basedOn w:val="a"/>
    <w:link w:val="Char0"/>
    <w:uiPriority w:val="99"/>
    <w:semiHidden/>
    <w:unhideWhenUsed/>
    <w:rsid w:val="00063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63917"/>
    <w:rPr>
      <w:rFonts w:ascii="Calibri" w:eastAsia="宋体" w:hAnsi="Calibri" w:cs="Calibri"/>
      <w:sz w:val="18"/>
      <w:szCs w:val="18"/>
    </w:rPr>
  </w:style>
  <w:style w:type="paragraph" w:styleId="a6">
    <w:name w:val="footer"/>
    <w:basedOn w:val="a"/>
    <w:link w:val="Char1"/>
    <w:uiPriority w:val="99"/>
    <w:unhideWhenUsed/>
    <w:rsid w:val="00063917"/>
    <w:pPr>
      <w:tabs>
        <w:tab w:val="center" w:pos="4153"/>
        <w:tab w:val="right" w:pos="8306"/>
      </w:tabs>
      <w:snapToGrid w:val="0"/>
      <w:jc w:val="left"/>
    </w:pPr>
    <w:rPr>
      <w:sz w:val="18"/>
      <w:szCs w:val="18"/>
    </w:rPr>
  </w:style>
  <w:style w:type="character" w:customStyle="1" w:styleId="Char1">
    <w:name w:val="页脚 Char"/>
    <w:basedOn w:val="a0"/>
    <w:link w:val="a6"/>
    <w:uiPriority w:val="99"/>
    <w:rsid w:val="00063917"/>
    <w:rPr>
      <w:rFonts w:ascii="Calibri" w:eastAsia="宋体" w:hAnsi="Calibri" w:cs="Calibri"/>
      <w:sz w:val="18"/>
      <w:szCs w:val="18"/>
    </w:rPr>
  </w:style>
  <w:style w:type="paragraph" w:styleId="a7">
    <w:name w:val="Balloon Text"/>
    <w:basedOn w:val="a"/>
    <w:link w:val="Char2"/>
    <w:uiPriority w:val="99"/>
    <w:semiHidden/>
    <w:unhideWhenUsed/>
    <w:rsid w:val="00373392"/>
    <w:rPr>
      <w:sz w:val="18"/>
      <w:szCs w:val="18"/>
    </w:rPr>
  </w:style>
  <w:style w:type="character" w:customStyle="1" w:styleId="Char2">
    <w:name w:val="批注框文本 Char"/>
    <w:basedOn w:val="a0"/>
    <w:link w:val="a7"/>
    <w:uiPriority w:val="99"/>
    <w:semiHidden/>
    <w:rsid w:val="00373392"/>
    <w:rPr>
      <w:rFonts w:ascii="Calibri" w:eastAsia="宋体" w:hAnsi="Calibri" w:cs="Calibri"/>
      <w:sz w:val="18"/>
      <w:szCs w:val="18"/>
    </w:rPr>
  </w:style>
  <w:style w:type="character" w:customStyle="1" w:styleId="2Char">
    <w:name w:val="标题 2 Char"/>
    <w:basedOn w:val="a0"/>
    <w:link w:val="2"/>
    <w:uiPriority w:val="9"/>
    <w:semiHidden/>
    <w:rsid w:val="00947B29"/>
    <w:rPr>
      <w:rFonts w:asciiTheme="majorHAnsi" w:eastAsiaTheme="majorEastAsia" w:hAnsiTheme="majorHAnsi" w:cstheme="majorBidi"/>
      <w:b/>
      <w:bCs/>
      <w:sz w:val="32"/>
      <w:szCs w:val="32"/>
    </w:rPr>
  </w:style>
  <w:style w:type="character" w:styleId="a8">
    <w:name w:val="annotation reference"/>
    <w:uiPriority w:val="99"/>
    <w:semiHidden/>
    <w:rsid w:val="00AE28F2"/>
    <w:rPr>
      <w:sz w:val="21"/>
      <w:szCs w:val="21"/>
    </w:rPr>
  </w:style>
  <w:style w:type="paragraph" w:styleId="a9">
    <w:name w:val="annotation text"/>
    <w:basedOn w:val="a"/>
    <w:link w:val="Char3"/>
    <w:uiPriority w:val="99"/>
    <w:semiHidden/>
    <w:rsid w:val="00AE28F2"/>
    <w:pPr>
      <w:jc w:val="left"/>
    </w:pPr>
    <w:rPr>
      <w:rFonts w:ascii="Times New Roman" w:hAnsi="Times New Roman" w:cs="Times New Roman"/>
      <w:sz w:val="24"/>
      <w:szCs w:val="24"/>
    </w:rPr>
  </w:style>
  <w:style w:type="character" w:customStyle="1" w:styleId="Char3">
    <w:name w:val="批注文字 Char"/>
    <w:basedOn w:val="a0"/>
    <w:link w:val="a9"/>
    <w:uiPriority w:val="99"/>
    <w:semiHidden/>
    <w:rsid w:val="00AE28F2"/>
    <w:rPr>
      <w:rFonts w:ascii="Times New Roman" w:eastAsia="宋体" w:hAnsi="Times New Roman" w:cs="Times New Roman"/>
      <w:sz w:val="24"/>
      <w:szCs w:val="24"/>
    </w:rPr>
  </w:style>
  <w:style w:type="character" w:customStyle="1" w:styleId="5Char">
    <w:name w:val="标题 5 Char"/>
    <w:basedOn w:val="a0"/>
    <w:link w:val="5"/>
    <w:uiPriority w:val="9"/>
    <w:semiHidden/>
    <w:rsid w:val="003F010C"/>
    <w:rPr>
      <w:rFonts w:ascii="Calibri" w:eastAsia="宋体" w:hAnsi="Calibri" w:cs="Calibri"/>
      <w:b/>
      <w:bCs/>
      <w:sz w:val="28"/>
      <w:szCs w:val="28"/>
    </w:rPr>
  </w:style>
  <w:style w:type="paragraph" w:styleId="aa">
    <w:name w:val="List Paragraph"/>
    <w:basedOn w:val="a"/>
    <w:uiPriority w:val="34"/>
    <w:qFormat/>
    <w:rsid w:val="00BF7C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8894-F93E-4239-B7D8-93B96EF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郭亚峰/htsec</dc:creator>
  <cp:lastModifiedBy>杨慧1882/htsec</cp:lastModifiedBy>
  <cp:revision>143</cp:revision>
  <dcterms:created xsi:type="dcterms:W3CDTF">2016-04-08T01:37:00Z</dcterms:created>
  <dcterms:modified xsi:type="dcterms:W3CDTF">2017-06-22T07:15:00Z</dcterms:modified>
</cp:coreProperties>
</file>