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B6" w:rsidRPr="00F65FB6" w:rsidRDefault="00F65FB6" w:rsidP="00F65FB6">
      <w:pPr>
        <w:widowControl/>
        <w:shd w:val="clear" w:color="auto" w:fill="FFFFFF"/>
        <w:spacing w:line="672" w:lineRule="atLeast"/>
        <w:jc w:val="center"/>
        <w:outlineLvl w:val="0"/>
        <w:rPr>
          <w:rFonts w:ascii="微软雅黑" w:eastAsia="微软雅黑" w:hAnsi="微软雅黑" w:cs="宋体"/>
          <w:color w:val="333333"/>
          <w:kern w:val="36"/>
          <w:sz w:val="46"/>
          <w:szCs w:val="46"/>
        </w:rPr>
      </w:pPr>
      <w:r w:rsidRPr="00F65FB6">
        <w:rPr>
          <w:rFonts w:ascii="微软雅黑" w:eastAsia="微软雅黑" w:hAnsi="微软雅黑" w:cs="宋体" w:hint="eastAsia"/>
          <w:color w:val="333333"/>
          <w:kern w:val="36"/>
          <w:sz w:val="46"/>
          <w:szCs w:val="46"/>
        </w:rPr>
        <w:t xml:space="preserve">中国人民银行令〔2016〕第3号 </w:t>
      </w:r>
    </w:p>
    <w:p w:rsidR="00F65FB6" w:rsidRPr="00F65FB6" w:rsidRDefault="00F65FB6" w:rsidP="00F65FB6">
      <w:pPr>
        <w:widowControl/>
        <w:shd w:val="clear" w:color="auto" w:fill="FFFFFF"/>
        <w:jc w:val="center"/>
        <w:rPr>
          <w:rFonts w:ascii="宋体" w:eastAsia="宋体" w:hAnsi="宋体" w:cs="宋体" w:hint="eastAsia"/>
          <w:color w:val="898989"/>
          <w:kern w:val="0"/>
          <w:sz w:val="17"/>
          <w:szCs w:val="17"/>
        </w:rPr>
      </w:pPr>
      <w:hyperlink r:id="rId6" w:tooltip="微信" w:history="1">
        <w:r w:rsidRPr="00F65FB6">
          <w:rPr>
            <w:rFonts w:ascii="宋体" w:eastAsia="宋体" w:hAnsi="宋体" w:cs="宋体" w:hint="eastAsia"/>
            <w:color w:val="000000"/>
            <w:kern w:val="0"/>
            <w:sz w:val="17"/>
            <w:szCs w:val="17"/>
          </w:rPr>
          <w:t> </w:t>
        </w:r>
      </w:hyperlink>
      <w:hyperlink r:id="rId7" w:tooltip="新浪微博" w:history="1">
        <w:r w:rsidRPr="00F65FB6">
          <w:rPr>
            <w:rFonts w:ascii="宋体" w:eastAsia="宋体" w:hAnsi="宋体" w:cs="宋体" w:hint="eastAsia"/>
            <w:color w:val="000000"/>
            <w:kern w:val="0"/>
            <w:sz w:val="17"/>
            <w:szCs w:val="17"/>
          </w:rPr>
          <w:t> </w:t>
        </w:r>
      </w:hyperlink>
      <w:r w:rsidRPr="00F65FB6">
        <w:rPr>
          <w:rFonts w:ascii="宋体" w:eastAsia="宋体" w:hAnsi="宋体" w:cs="宋体" w:hint="eastAsia"/>
          <w:color w:val="898989"/>
          <w:kern w:val="0"/>
          <w:sz w:val="17"/>
        </w:rPr>
        <w:t> </w:t>
      </w:r>
      <w:r w:rsidRPr="00F65FB6">
        <w:rPr>
          <w:rFonts w:ascii="宋体" w:eastAsia="宋体" w:hAnsi="宋体" w:cs="宋体" w:hint="eastAsia"/>
          <w:color w:val="898989"/>
          <w:kern w:val="0"/>
          <w:sz w:val="17"/>
          <w:szCs w:val="17"/>
        </w:rPr>
        <w:t xml:space="preserve"> </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根据《中华人民共和国反洗钱法》、《中华人民共和国中国人民银行法》、《中华人民共和国反恐怖主义法》等法律规定，中国人民银行对《金融机构大额交易和可疑交易报告管理办法》（中国人民银行令〔2006〕第2号发布）进行了修订，经2016年12月9日第9次行长办公会议通过，现予发布，自2017年7月1日起施行。</w:t>
      </w:r>
    </w:p>
    <w:p w:rsidR="00F65FB6" w:rsidRPr="00F65FB6" w:rsidRDefault="00F65FB6" w:rsidP="00F65FB6">
      <w:pPr>
        <w:widowControl/>
        <w:shd w:val="clear" w:color="auto" w:fill="FFFFFF"/>
        <w:spacing w:line="360" w:lineRule="atLeast"/>
        <w:jc w:val="righ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行　长  周小川</w:t>
      </w:r>
      <w:r w:rsidRPr="00F65FB6">
        <w:rPr>
          <w:rFonts w:ascii="宋体" w:eastAsia="宋体" w:hAnsi="宋体" w:cs="宋体" w:hint="eastAsia"/>
          <w:color w:val="333333"/>
          <w:kern w:val="0"/>
          <w:sz w:val="24"/>
          <w:szCs w:val="24"/>
        </w:rPr>
        <w:br/>
        <w:t>2016年12月28日</w:t>
      </w:r>
    </w:p>
    <w:p w:rsidR="00F65FB6" w:rsidRPr="00F65FB6" w:rsidRDefault="00F65FB6" w:rsidP="00F65FB6">
      <w:pPr>
        <w:widowControl/>
        <w:shd w:val="clear" w:color="auto" w:fill="FFFFFF"/>
        <w:spacing w:line="360" w:lineRule="atLeast"/>
        <w:jc w:val="center"/>
        <w:rPr>
          <w:rFonts w:ascii="宋体" w:eastAsia="宋体" w:hAnsi="宋体" w:cs="宋体" w:hint="eastAsia"/>
          <w:color w:val="333333"/>
          <w:kern w:val="0"/>
          <w:sz w:val="24"/>
          <w:szCs w:val="24"/>
        </w:rPr>
      </w:pPr>
      <w:r w:rsidRPr="00F65FB6">
        <w:rPr>
          <w:rFonts w:ascii="宋体" w:eastAsia="宋体" w:hAnsi="宋体" w:cs="宋体" w:hint="eastAsia"/>
          <w:b/>
          <w:bCs/>
          <w:color w:val="333333"/>
          <w:kern w:val="0"/>
          <w:sz w:val="24"/>
          <w:szCs w:val="24"/>
        </w:rPr>
        <w:t>金融机构大额交易和可疑交易报告管理办法</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第一章 总  则</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第一条  为了规范金融机构大额交易和可疑交易报告行为，根据《中华人民共和国反洗钱法》、《中华人民共和国中国人民银行法》、《中华人民共和国反恐怖主义法》等有关法律法规，制定本办法。</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第二条  本办法适用于在中华人民共和国境内依法设立的下列金融机构：</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（一）政策性银行、商业银行、农村合作银行、农村信用社、村镇银行。</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（二）证券公司、期货公司、基金管理公司。</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（三）保险公司、保险资产管理公司、保险专业代理公司、保险经纪公司。</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（四）信托公司、金融资产管理公司、企业集团财务公司、金融租赁公司、汽车金融公司、消费金融公司、货币经纪公司、贷款公司。</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（五）中国人民银行确定并公布的应当履行反洗钱义务的从事金融业务的其他机构。</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第三条  金融机构应当履行大额交易和可疑交易报告义务，向中国反洗钱监测分析中心报送大额交易和可疑交易报告，接受中国人民银行及其分支机构的监督、检查。</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第四条  金融机构应当通过其总部或者总部指定的一个机构，按本办法规定的路径和方式提交大额交易和可疑交易报告。</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第二章 大额交易报告</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第五条  金融机构应当报告下列大额交易：</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lastRenderedPageBreak/>
        <w:t>（一）当日单笔或者累计交易人民币5万元以上（含5万元）、外币等值1万美元以上（含1万美元）的现金缴存、现金支取、现金结售汇、现钞兑换、现金汇款、现金票据解付及其他形式的现金收支。</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（二）非自然人客户银行账户与其他的银行账户发生当日单笔或者累计交易人民币200万元以上（含200万元）、外币等值20万美元以上（含20万美元）的款项划转。</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（三）自然人客户银行账户与其他的银行账户发生当日单笔或者累计交易人民币50万元以上（含50万元）、外币等值10万美元以上（含10万美元）的境内款项划转。</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（四）自然人客户银行账户与其他的银行账户发生当日单笔或者累计交易人民币20万元以上（含20万元）、外币等值1万美元以上（含1万美元）的跨境款项划转。</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累计交易金额以客户为单位，按资金收入或者支出单边累计计算并报告。中国人民银行另有规定的除外。</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中国人民银行根据需要可以调整本条第一款规定的大额交易报告标准。</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第六条  对同时符合两项以上大额交易标准的交易，金融机构应当分别提交大额交易报告。</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第七条  对符合下列条件之一的大额交易，如未发现交易或行为可疑的，金融机构可以不报告：</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（一）定期存款到期后，不直接提取或者划转，而是本金或者本金加全部或者部分利息续存入在同一金融机构开立的同一户名下的另一账户。</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活期存款的本金或者本金加全部或者部分利息转为在同一金融机构开立的同一户名下的另一账户内的定期存款。</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定期存款的本金或者本金加全部或者部分利息转为在同一金融机构开立的同一户名下的另一账户内的活期存款。</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（二）自然人实盘外汇买卖交易过程中不同外币币种间的转换。</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（三）交易一方为各级党的机关、国家权力机关、行政机关、司法机关、军事机关、人民政协机关和人民解放军、武警部队，但不包含其下属的各类企事业单位。</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（四）金融机构同业拆借、在银行间债券市场进行的债券交易。</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（五）金融机构在黄金交易所进行的黄金交易。</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lastRenderedPageBreak/>
        <w:t>（六）金融机构内部调拨资金。</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（七）国际金融组织和外国政府贷款转贷业务项下的交易。</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（八）国际金融组织和外国政府贷款项下的债务掉期交易。</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（九）政策性银行、商业银行、农村合作银行、农村信用社、村镇银行办理的税收、错账冲正、利息支付。</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（十）中国人民银行确定的其他情形。</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第八条  金融机构应当在大额交易发生之日起5个工作日内以电子方式提交大额交易报告。</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第九条  下列金融机构与客户进行金融交易并通过银行账户划转款项的，由银行机构按照本办法规定提交大额交易报告：</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（一）证券公司、期货公司、基金管理公司。</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（二）保险公司、保险资产管理公司、保险专业代理公司、保险经纪公司。</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（三）信托公司、金融资产管理公司、企业集团财务公司、金融租赁公司、汽车金融公司、消费金融公司、货币经纪公司、贷款公司。</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第十条  客户通过在境内金融机构开立的账户或者境内银行卡所发生的大额交易，由开立账户的金融机构或者发卡银行报告；客户通过境外银行卡所发生的大额交易，由收单机构报告；客户不通过账户或者银行卡发生的大额交易，由办理业务的金融机构报告。</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第三章 可疑交易报告</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第十一条  金融机构发现或者有合理理由怀疑客户、客户的资金或者其他资产、客户的交易或者试图进行的交易与洗钱、恐怖融资等犯罪活动相关的，不论所涉资金金额或者资产价值大小，应当提交可疑交易报告。</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第十二条  金融机构应当制定本机构的交易监测标准，并对其有效性负责。交易监测标准包括并不限于客户的身份、行为，交易的资金来源、金额、频率、流向、性质等存在异常的情形，并应当参考以下因素：</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（一）中国人民银行及其分支机构发布的反洗钱、反恐怖融资规定及指引、风险提示、洗钱类型分析报告和风险评估报告。</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（二）公安机关、司法机关发布的犯罪形势分析、风险提示、犯罪类型报告和工作报告。</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lastRenderedPageBreak/>
        <w:t>（三）本机构的资产规模、地域分布、业务特点、客户群体、交易特征，洗钱和恐怖融资风险评估结论。</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（四）中国人民银行及其分支机构出具的反洗钱监管意见。</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（五）中国人民银行要求关注的其他因素。</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第十三条  金融机构应当定期对交易监测标准进行评估，并根据评估结果完善交易监测标准。如发生突发情况或者应当关注的情况的，金融机构应当及时评估和完善交易监测标准。</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第十四条  金融机构应当对通过交易监测标准筛选出的交易进行人工分析、识别，并记录分析过程；不作为可疑交易报告的，应当记录分析排除的合理理由；确认为可疑交易的，应当在可疑交易报告理由中完整记录对客户身份特征、交易特征或行为特征的分析过程。</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第十五条  金融机构应当在按本机构可疑交易报告内部操作规程确认为可疑交易后，及时以电子方式提交可疑交易报告，最迟不超过5个工作日。</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第十六条  既属于大额交易又属于可疑交易的交易，金融机构应当分别提交大额交易报告和可疑交易报告。</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第十七条  可疑交易符合下列情形之一的，金融机构应当在向中国反洗钱监测分析中心提交可疑交易报告的同时，以电子形式或书面形式向所在地中国人民银行或者其分支机构报告，并配合反洗钱调查：</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（一）明显涉嫌洗钱、恐怖融资等犯罪活动的。</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（二）严重危害国家安全或者影响社会稳定的。</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（三）其他情节严重或者情况紧急的情形。</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第十八条  金融机构应当对下列恐怖活动组织及恐怖活动人员名单开展实时监测，有合理理由怀疑客户或者其交易对手、资金或者其他资产与名单相关的，应当在立即向中国反洗钱监测分析中心提交可疑交易报告的同时，以电子形式或书面形式向所在地中国人民银行或者其分支机构报告，并按照相关主管部门的要求依法采取措施。</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（一）中国政府发布的或者要求执行的恐怖活动组织及恐怖活动人员名单。</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（二）联合国安理会决议中所列的恐怖活动组织及恐怖活动人员名单。</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（三）中国人民银行要求关注的其他涉嫌恐怖活动的组织及人员名单。</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恐怖活动组织及恐怖活动人员名单调整的，金融机构应当立即开展回溯性调查，并按前款规定提交可疑交易报告。</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lastRenderedPageBreak/>
        <w:t>法律、行政法规、规章对上述名单的监控另有规定的，从其规定。</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第四章 内部管理措施</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第十九条  金融机构应当根据本办法制定大额交易和可疑交易报告内部管理制度和操作规程，对本机构的大额交易和可疑交易报告工作做出统一要求，并对分支机构、附属机构大额交易和可疑交易报告制度的执行情况进行监督管理。</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金融机构应当将大额交易和可疑交易报告制度向中国人民银行或其总部所在地的中国人民银行分支机构报备。</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第二十条  金融机构应当设立专职的反洗钱岗位，配备专职人员负责大额交易和可疑交易报告工作，并提供必要的资源保障和信息支持。</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第二十一条  金融机构应当建立健全大额交易和可疑交易监测系统，以客户为基本单位开展资金交易的监测分析，全面、完整、准确地采集各业务系统的客户身份信息和交易信息，保障大额交易和可疑交易监测分析的数据需求。</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第二十二条  金融机构应当按照完整准确、安全保密的原则，将大额交易和可疑交易报告、反映交易分析和内部处理情况的工作记录等资料自生成之日起至少保存5年。</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保存的信息资料涉及正在被反洗钱调查的可疑交易活动，且反洗钱调查工作在前款规定的最低保存期届满时仍未结束的，金融机构应将其保存至反洗钱调查工作结束。</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第二十三条  金融机构及其工作人员应当对依法履行大额交易和可疑交易报告义务获得的客户身份资料和交易信息，对依法监测、分析、报告可疑交易的有关情况予以保密，不得违反规定向任何单位和个人提供。</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第五章 法律责任</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第二十四条  金融机构违反本办法的，由中国人民银行或者其地市中心支行以上分支机构按照《中华人民共和国反洗钱法》第三十一条、第三十二条的规定予以处罚。</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第六章 附  则</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第二十五条  非银行支付机构、从事汇兑业务和基金销售业务的机构报告大额交易和可疑交易适用本办法。银行卡清算机构、资金清算中心等从事清算业务的机构应当按照中国人民银行有关规定开展交易监测分析、报告工作。</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本办法所称非银行支付机构，是指根据《非金融机构支付服务管理办法》（中国人民银行令〔2010〕第2号发布）规定取得《支付业务许可证》的支付机构。</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lastRenderedPageBreak/>
        <w:t>本办法所称资金清算中心，包括城市商业银行资金清算中心、农信银资金清算中心有限责任公司及中国人民银行确定的其他资金清算中心。</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第二十六条  本办法所称非自然人，包括法人、其他组织和个体工商户。</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第二十七条  金融机构应当按照本办法所附的大额交易和可疑交易报告要素要求（要素内容见附件），制作大额交易报告和可疑交易报告的电子文件。具体的报告格式和填报要求由中国人民银行另行规定。</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第二十八条  中国反洗钱监测分析中心发现金融机构报送的大额交易报告或者可疑交易报告内容要素不全或者存在错误的，可以向提交报告的金融机构发出补正通知，金融机构应当在接到补正通知之日起5个工作日内补正。</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第二十九条  本办法由中国人民银行负责解释。</w:t>
      </w:r>
    </w:p>
    <w:p w:rsidR="00F65FB6" w:rsidRPr="00F65FB6" w:rsidRDefault="00F65FB6" w:rsidP="00F65FB6">
      <w:pPr>
        <w:widowControl/>
        <w:shd w:val="clear" w:color="auto" w:fill="FFFFFF"/>
        <w:spacing w:before="180" w:line="360" w:lineRule="atLeast"/>
        <w:ind w:firstLine="480"/>
        <w:jc w:val="left"/>
        <w:rPr>
          <w:rFonts w:ascii="宋体" w:eastAsia="宋体" w:hAnsi="宋体" w:cs="宋体" w:hint="eastAsia"/>
          <w:color w:val="333333"/>
          <w:kern w:val="0"/>
          <w:sz w:val="24"/>
          <w:szCs w:val="24"/>
        </w:rPr>
      </w:pPr>
      <w:r w:rsidRPr="00F65FB6">
        <w:rPr>
          <w:rFonts w:ascii="宋体" w:eastAsia="宋体" w:hAnsi="宋体" w:cs="宋体" w:hint="eastAsia"/>
          <w:color w:val="333333"/>
          <w:kern w:val="0"/>
          <w:sz w:val="24"/>
          <w:szCs w:val="24"/>
        </w:rPr>
        <w:t>第三十条  本办法自2017年7月1日起施行。中国人民银行2006年11月14日发布的《金融机构大额交易和可疑交易报告管理办法》（中国人民银行令〔2006〕第2号）和2007年6月11日发布的《金融机构报告涉嫌恐怖融资的可疑交易管理办法》（中国人民银行令〔2007〕第1号）同时废止。中国人民银行此前发布的大额交易和可疑交易报告的其他规定，与本办法不一致的，以本办法为准。</w:t>
      </w:r>
    </w:p>
    <w:p w:rsidR="00333671" w:rsidRPr="00F65FB6" w:rsidRDefault="00333671"/>
    <w:sectPr w:rsidR="00333671" w:rsidRPr="00F65F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671" w:rsidRDefault="00333671" w:rsidP="00F65FB6">
      <w:r>
        <w:separator/>
      </w:r>
    </w:p>
  </w:endnote>
  <w:endnote w:type="continuationSeparator" w:id="1">
    <w:p w:rsidR="00333671" w:rsidRDefault="00333671" w:rsidP="00F65F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671" w:rsidRDefault="00333671" w:rsidP="00F65FB6">
      <w:r>
        <w:separator/>
      </w:r>
    </w:p>
  </w:footnote>
  <w:footnote w:type="continuationSeparator" w:id="1">
    <w:p w:rsidR="00333671" w:rsidRDefault="00333671" w:rsidP="00F65F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5FB6"/>
    <w:rsid w:val="00333671"/>
    <w:rsid w:val="00F65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65FB6"/>
    <w:pPr>
      <w:widowControl/>
      <w:spacing w:line="672" w:lineRule="atLeast"/>
      <w:jc w:val="center"/>
      <w:outlineLvl w:val="0"/>
    </w:pPr>
    <w:rPr>
      <w:rFonts w:ascii="微软雅黑" w:eastAsia="微软雅黑" w:hAnsi="微软雅黑" w:cs="宋体"/>
      <w:kern w:val="36"/>
      <w:sz w:val="46"/>
      <w:szCs w:val="4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5F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5FB6"/>
    <w:rPr>
      <w:sz w:val="18"/>
      <w:szCs w:val="18"/>
    </w:rPr>
  </w:style>
  <w:style w:type="paragraph" w:styleId="a4">
    <w:name w:val="footer"/>
    <w:basedOn w:val="a"/>
    <w:link w:val="Char0"/>
    <w:uiPriority w:val="99"/>
    <w:semiHidden/>
    <w:unhideWhenUsed/>
    <w:rsid w:val="00F65F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5FB6"/>
    <w:rPr>
      <w:sz w:val="18"/>
      <w:szCs w:val="18"/>
    </w:rPr>
  </w:style>
  <w:style w:type="character" w:customStyle="1" w:styleId="1Char">
    <w:name w:val="标题 1 Char"/>
    <w:basedOn w:val="a0"/>
    <w:link w:val="1"/>
    <w:uiPriority w:val="9"/>
    <w:rsid w:val="00F65FB6"/>
    <w:rPr>
      <w:rFonts w:ascii="微软雅黑" w:eastAsia="微软雅黑" w:hAnsi="微软雅黑" w:cs="宋体"/>
      <w:kern w:val="36"/>
      <w:sz w:val="46"/>
      <w:szCs w:val="46"/>
    </w:rPr>
  </w:style>
  <w:style w:type="character" w:customStyle="1" w:styleId="font1">
    <w:name w:val="font1"/>
    <w:basedOn w:val="a0"/>
    <w:rsid w:val="00F65FB6"/>
  </w:style>
  <w:style w:type="character" w:customStyle="1" w:styleId="font3">
    <w:name w:val="font3"/>
    <w:basedOn w:val="a0"/>
    <w:rsid w:val="00F65FB6"/>
  </w:style>
  <w:style w:type="character" w:customStyle="1" w:styleId="bigger">
    <w:name w:val="bigger"/>
    <w:basedOn w:val="a0"/>
    <w:rsid w:val="00F65FB6"/>
  </w:style>
  <w:style w:type="character" w:customStyle="1" w:styleId="medium">
    <w:name w:val="medium"/>
    <w:basedOn w:val="a0"/>
    <w:rsid w:val="00F65FB6"/>
  </w:style>
  <w:style w:type="character" w:customStyle="1" w:styleId="smaller">
    <w:name w:val="smaller"/>
    <w:basedOn w:val="a0"/>
    <w:rsid w:val="00F65FB6"/>
  </w:style>
  <w:style w:type="character" w:customStyle="1" w:styleId="gwdsmore1">
    <w:name w:val="gwds_more1"/>
    <w:basedOn w:val="a0"/>
    <w:rsid w:val="00F65FB6"/>
  </w:style>
</w:styles>
</file>

<file path=word/webSettings.xml><?xml version="1.0" encoding="utf-8"?>
<w:webSettings xmlns:r="http://schemas.openxmlformats.org/officeDocument/2006/relationships" xmlns:w="http://schemas.openxmlformats.org/wordprocessingml/2006/main">
  <w:divs>
    <w:div w:id="1722092592">
      <w:bodyDiv w:val="1"/>
      <w:marLeft w:val="0"/>
      <w:marRight w:val="0"/>
      <w:marTop w:val="0"/>
      <w:marBottom w:val="0"/>
      <w:divBdr>
        <w:top w:val="none" w:sz="0" w:space="0" w:color="auto"/>
        <w:left w:val="none" w:sz="0" w:space="0" w:color="auto"/>
        <w:bottom w:val="none" w:sz="0" w:space="0" w:color="auto"/>
        <w:right w:val="none" w:sz="0" w:space="0" w:color="auto"/>
      </w:divBdr>
      <w:divsChild>
        <w:div w:id="431046773">
          <w:marLeft w:val="0"/>
          <w:marRight w:val="0"/>
          <w:marTop w:val="0"/>
          <w:marBottom w:val="0"/>
          <w:divBdr>
            <w:top w:val="none" w:sz="0" w:space="0" w:color="auto"/>
            <w:left w:val="none" w:sz="0" w:space="0" w:color="auto"/>
            <w:bottom w:val="none" w:sz="0" w:space="0" w:color="auto"/>
            <w:right w:val="none" w:sz="0" w:space="0" w:color="auto"/>
          </w:divBdr>
          <w:divsChild>
            <w:div w:id="1196113701">
              <w:marLeft w:val="0"/>
              <w:marRight w:val="0"/>
              <w:marTop w:val="0"/>
              <w:marBottom w:val="0"/>
              <w:divBdr>
                <w:top w:val="none" w:sz="0" w:space="0" w:color="auto"/>
                <w:left w:val="none" w:sz="0" w:space="0" w:color="auto"/>
                <w:bottom w:val="none" w:sz="0" w:space="0" w:color="auto"/>
                <w:right w:val="none" w:sz="0" w:space="0" w:color="auto"/>
              </w:divBdr>
              <w:divsChild>
                <w:div w:id="2107799168">
                  <w:marLeft w:val="0"/>
                  <w:marRight w:val="0"/>
                  <w:marTop w:val="0"/>
                  <w:marBottom w:val="0"/>
                  <w:divBdr>
                    <w:top w:val="none" w:sz="0" w:space="0" w:color="auto"/>
                    <w:left w:val="none" w:sz="0" w:space="0" w:color="auto"/>
                    <w:bottom w:val="none" w:sz="0" w:space="0" w:color="auto"/>
                    <w:right w:val="none" w:sz="0" w:space="0" w:color="auto"/>
                  </w:divBdr>
                  <w:divsChild>
                    <w:div w:id="14037593">
                      <w:marLeft w:val="0"/>
                      <w:marRight w:val="0"/>
                      <w:marTop w:val="0"/>
                      <w:marBottom w:val="0"/>
                      <w:divBdr>
                        <w:top w:val="none" w:sz="0" w:space="0" w:color="auto"/>
                        <w:left w:val="none" w:sz="0" w:space="0" w:color="auto"/>
                        <w:bottom w:val="single" w:sz="4" w:space="0" w:color="DCDCDC"/>
                        <w:right w:val="none" w:sz="0" w:space="0" w:color="auto"/>
                      </w:divBdr>
                      <w:divsChild>
                        <w:div w:id="2058695350">
                          <w:marLeft w:val="0"/>
                          <w:marRight w:val="0"/>
                          <w:marTop w:val="0"/>
                          <w:marBottom w:val="0"/>
                          <w:divBdr>
                            <w:top w:val="none" w:sz="0" w:space="0" w:color="auto"/>
                            <w:left w:val="none" w:sz="0" w:space="0" w:color="auto"/>
                            <w:bottom w:val="none" w:sz="0" w:space="0" w:color="auto"/>
                            <w:right w:val="none" w:sz="0" w:space="0" w:color="auto"/>
                          </w:divBdr>
                          <w:divsChild>
                            <w:div w:id="1741512604">
                              <w:marLeft w:val="0"/>
                              <w:marRight w:val="0"/>
                              <w:marTop w:val="0"/>
                              <w:marBottom w:val="0"/>
                              <w:divBdr>
                                <w:top w:val="none" w:sz="0" w:space="0" w:color="auto"/>
                                <w:left w:val="none" w:sz="0" w:space="0" w:color="auto"/>
                                <w:bottom w:val="none" w:sz="0" w:space="0" w:color="auto"/>
                                <w:right w:val="none" w:sz="0" w:space="0" w:color="auto"/>
                              </w:divBdr>
                              <w:divsChild>
                                <w:div w:id="1331906978">
                                  <w:marLeft w:val="0"/>
                                  <w:marRight w:val="0"/>
                                  <w:marTop w:val="0"/>
                                  <w:marBottom w:val="0"/>
                                  <w:divBdr>
                                    <w:top w:val="none" w:sz="0" w:space="0" w:color="auto"/>
                                    <w:left w:val="none" w:sz="0" w:space="0" w:color="auto"/>
                                    <w:bottom w:val="none" w:sz="0" w:space="0" w:color="auto"/>
                                    <w:right w:val="none" w:sz="0" w:space="0" w:color="auto"/>
                                  </w:divBdr>
                                  <w:divsChild>
                                    <w:div w:id="1809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2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cn/xinwen/2016-12/30/content_515505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xinwen/2016-12/30/content_5155050.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张胜宏/htsec</dc:creator>
  <cp:keywords/>
  <dc:description/>
  <cp:lastModifiedBy>张胜宏/htsec</cp:lastModifiedBy>
  <cp:revision>2</cp:revision>
  <dcterms:created xsi:type="dcterms:W3CDTF">2017-09-22T00:28:00Z</dcterms:created>
  <dcterms:modified xsi:type="dcterms:W3CDTF">2017-09-22T00:30:00Z</dcterms:modified>
</cp:coreProperties>
</file>