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DD" w:rsidRDefault="00303282">
      <w:pPr>
        <w:pStyle w:val="3"/>
        <w:jc w:val="center"/>
      </w:pPr>
      <w:bookmarkStart w:id="0" w:name="_GoBack"/>
      <w:r>
        <w:rPr>
          <w:rFonts w:hint="eastAsia"/>
          <w:color w:val="1F4E79" w:themeColor="accent1" w:themeShade="80"/>
        </w:rPr>
        <w:t>“理性投资，从我做起”投资者教育专项活动投教案例</w:t>
      </w:r>
      <w:r>
        <w:rPr>
          <w:rFonts w:hint="eastAsia"/>
          <w:color w:val="1F4E79" w:themeColor="accent1" w:themeShade="80"/>
        </w:rPr>
        <w:t>1</w:t>
      </w:r>
      <w:r>
        <w:rPr>
          <w:rFonts w:hint="eastAsia"/>
          <w:color w:val="1F4E79" w:themeColor="accent1" w:themeShade="80"/>
        </w:rPr>
        <w:t>5</w:t>
      </w:r>
    </w:p>
    <w:bookmarkEnd w:id="0"/>
    <w:p w:rsidR="00F870DD" w:rsidRDefault="00303282">
      <w:pPr>
        <w:pStyle w:val="3"/>
        <w:jc w:val="center"/>
      </w:pPr>
      <w:r>
        <w:rPr>
          <w:rFonts w:hint="eastAsia"/>
        </w:rPr>
        <w:t>因投资理财产品引发的纠纷调解案</w:t>
      </w:r>
    </w:p>
    <w:p w:rsidR="00F870DD" w:rsidRDefault="00F870DD"/>
    <w:p w:rsidR="00F870DD" w:rsidRDefault="00303282">
      <w:pPr>
        <w:rPr>
          <w:rFonts w:ascii="楷体" w:eastAsia="楷体" w:hAnsi="楷体" w:cs="楷体"/>
          <w:sz w:val="30"/>
          <w:szCs w:val="30"/>
        </w:rPr>
      </w:pPr>
      <w:r>
        <w:rPr>
          <w:rFonts w:hint="eastAsia"/>
        </w:rPr>
        <w:t xml:space="preserve">　</w:t>
      </w:r>
      <w:r>
        <w:rPr>
          <w:rFonts w:ascii="楷体" w:eastAsia="楷体" w:hAnsi="楷体" w:cs="楷体" w:hint="eastAsia"/>
          <w:b/>
          <w:bCs/>
          <w:sz w:val="30"/>
          <w:szCs w:val="30"/>
        </w:rPr>
        <w:t>一、案情基本事实：</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2016</w:t>
      </w:r>
      <w:r>
        <w:rPr>
          <w:rFonts w:ascii="楷体" w:eastAsia="楷体" w:hAnsi="楷体" w:cs="楷体" w:hint="eastAsia"/>
          <w:sz w:val="30"/>
          <w:szCs w:val="30"/>
        </w:rPr>
        <w:t>年</w:t>
      </w:r>
      <w:r>
        <w:rPr>
          <w:rFonts w:ascii="楷体" w:eastAsia="楷体" w:hAnsi="楷体" w:cs="楷体" w:hint="eastAsia"/>
          <w:sz w:val="30"/>
          <w:szCs w:val="30"/>
        </w:rPr>
        <w:t>4</w:t>
      </w:r>
      <w:r>
        <w:rPr>
          <w:rFonts w:ascii="楷体" w:eastAsia="楷体" w:hAnsi="楷体" w:cs="楷体" w:hint="eastAsia"/>
          <w:sz w:val="30"/>
          <w:szCs w:val="30"/>
        </w:rPr>
        <w:t>月，</w:t>
      </w:r>
      <w:r>
        <w:rPr>
          <w:rFonts w:ascii="楷体" w:eastAsia="楷体" w:hAnsi="楷体" w:cs="楷体" w:hint="eastAsia"/>
          <w:sz w:val="30"/>
          <w:szCs w:val="30"/>
        </w:rPr>
        <w:t>某</w:t>
      </w:r>
      <w:r>
        <w:rPr>
          <w:rFonts w:ascii="楷体" w:eastAsia="楷体" w:hAnsi="楷体" w:cs="楷体" w:hint="eastAsia"/>
          <w:sz w:val="30"/>
          <w:szCs w:val="30"/>
        </w:rPr>
        <w:t>证券业协会（以下简称“协会”）接到一名投资者</w:t>
      </w:r>
      <w:r>
        <w:rPr>
          <w:rFonts w:ascii="楷体" w:eastAsia="楷体" w:hAnsi="楷体" w:cs="楷体" w:hint="eastAsia"/>
          <w:sz w:val="30"/>
          <w:szCs w:val="30"/>
        </w:rPr>
        <w:t>C</w:t>
      </w:r>
      <w:r>
        <w:rPr>
          <w:rFonts w:ascii="楷体" w:eastAsia="楷体" w:hAnsi="楷体" w:cs="楷体" w:hint="eastAsia"/>
          <w:sz w:val="30"/>
          <w:szCs w:val="30"/>
        </w:rPr>
        <w:t>某的电话投诉，自述其</w:t>
      </w:r>
      <w:r>
        <w:rPr>
          <w:rFonts w:ascii="楷体" w:eastAsia="楷体" w:hAnsi="楷体" w:cs="楷体" w:hint="eastAsia"/>
          <w:sz w:val="30"/>
          <w:szCs w:val="30"/>
        </w:rPr>
        <w:t>2012</w:t>
      </w:r>
      <w:r>
        <w:rPr>
          <w:rFonts w:ascii="楷体" w:eastAsia="楷体" w:hAnsi="楷体" w:cs="楷体" w:hint="eastAsia"/>
          <w:sz w:val="30"/>
          <w:szCs w:val="30"/>
        </w:rPr>
        <w:t>年在建行某支行购买了某证券公司代销的理财产品</w:t>
      </w:r>
      <w:r>
        <w:rPr>
          <w:rFonts w:ascii="楷体" w:eastAsia="楷体" w:hAnsi="楷体" w:cs="楷体" w:hint="eastAsia"/>
          <w:sz w:val="30"/>
          <w:szCs w:val="30"/>
        </w:rPr>
        <w:t>13</w:t>
      </w:r>
      <w:r>
        <w:rPr>
          <w:rFonts w:ascii="楷体" w:eastAsia="楷体" w:hAnsi="楷体" w:cs="楷体" w:hint="eastAsia"/>
          <w:sz w:val="30"/>
          <w:szCs w:val="30"/>
        </w:rPr>
        <w:t>万元，其持有至今年</w:t>
      </w:r>
      <w:r>
        <w:rPr>
          <w:rFonts w:ascii="楷体" w:eastAsia="楷体" w:hAnsi="楷体" w:cs="楷体" w:hint="eastAsia"/>
          <w:sz w:val="30"/>
          <w:szCs w:val="30"/>
        </w:rPr>
        <w:t>4</w:t>
      </w:r>
      <w:r>
        <w:rPr>
          <w:rFonts w:ascii="楷体" w:eastAsia="楷体" w:hAnsi="楷体" w:cs="楷体" w:hint="eastAsia"/>
          <w:sz w:val="30"/>
          <w:szCs w:val="30"/>
        </w:rPr>
        <w:t>月时发现亏损严重，无法接受该亏损事实，便向证券公司提出补偿的要求。希望协会能调解其与证券公司之间的民事纠纷。</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二、协调过程与处理结果：</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协会在了解基本情况，征求双方调解意见后受理了该起调解案件。协会调解员通过与某证券公司、银行、客户三方多次进行沟通协调，客户情绪得到平复，逐渐能够理解并接受产品亏损的事实，不再为此事进行投诉。某证券公司也积极配合处理，引导客户在银行开立</w:t>
      </w:r>
      <w:r>
        <w:rPr>
          <w:rFonts w:ascii="楷体" w:eastAsia="楷体" w:hAnsi="楷体" w:cs="楷体" w:hint="eastAsia"/>
          <w:sz w:val="30"/>
          <w:szCs w:val="30"/>
        </w:rPr>
        <w:t>TA</w:t>
      </w:r>
      <w:r>
        <w:rPr>
          <w:rFonts w:ascii="楷体" w:eastAsia="楷体" w:hAnsi="楷体" w:cs="楷体" w:hint="eastAsia"/>
          <w:sz w:val="30"/>
          <w:szCs w:val="30"/>
        </w:rPr>
        <w:t>账户，进行产品赎回。经过</w:t>
      </w:r>
      <w:r>
        <w:rPr>
          <w:rFonts w:ascii="楷体" w:eastAsia="楷体" w:hAnsi="楷体" w:cs="楷体" w:hint="eastAsia"/>
          <w:sz w:val="30"/>
          <w:szCs w:val="30"/>
        </w:rPr>
        <w:t>3</w:t>
      </w:r>
      <w:r>
        <w:rPr>
          <w:rFonts w:ascii="楷体" w:eastAsia="楷体" w:hAnsi="楷体" w:cs="楷体" w:hint="eastAsia"/>
          <w:sz w:val="30"/>
          <w:szCs w:val="30"/>
        </w:rPr>
        <w:t>个月的努力协调，该投诉纠纷得到圆满解决。</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三、成功处理的要点与难点：</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理财产品简介中明确标识本集合理财计划属于证券投资产品中预期收益和风险均较高的理财品种，适合具有一定风险承受能力的投资者。而投资者在购买理财产品亏损后才真正意识到其中的</w:t>
      </w:r>
      <w:r>
        <w:rPr>
          <w:rFonts w:ascii="楷体" w:eastAsia="楷体" w:hAnsi="楷体" w:cs="楷体" w:hint="eastAsia"/>
          <w:sz w:val="30"/>
          <w:szCs w:val="30"/>
        </w:rPr>
        <w:t>风险点，按照买者自负的原则，客户应承担投资损失，证券公司不应对其损失进行补偿。</w:t>
      </w:r>
      <w:r>
        <w:rPr>
          <w:rFonts w:ascii="楷体" w:eastAsia="楷体" w:hAnsi="楷体" w:cs="楷体" w:hint="eastAsia"/>
          <w:sz w:val="30"/>
          <w:szCs w:val="30"/>
        </w:rPr>
        <w:t>C</w:t>
      </w:r>
      <w:r>
        <w:rPr>
          <w:rFonts w:ascii="楷体" w:eastAsia="楷体" w:hAnsi="楷体" w:cs="楷体" w:hint="eastAsia"/>
          <w:sz w:val="30"/>
          <w:szCs w:val="30"/>
        </w:rPr>
        <w:t>某对理财产品的风险意识理解不到位，不能接受亏损的事实，遂要求证券公司赔偿其本金损失。</w:t>
      </w:r>
      <w:r>
        <w:rPr>
          <w:rFonts w:ascii="楷体" w:eastAsia="楷体" w:hAnsi="楷体" w:cs="楷体" w:hint="eastAsia"/>
          <w:sz w:val="30"/>
          <w:szCs w:val="30"/>
        </w:rPr>
        <w:lastRenderedPageBreak/>
        <w:t>证券公司认为该客户是自愿认购，销售中并无误导行为，且该理财产品销售合同中已明确标识。在双方僵持不下的情况下，协会调解员采用单独的调解方式，在证券公司方面，不断向其渗透加强投资者适当性管理制度的建设，强化客户适当性管理工作，完善其在保护投资者合法权益以及落实客户适当性管理工作中的相关措施；客户方面，向其充分揭</w:t>
      </w:r>
      <w:r>
        <w:rPr>
          <w:rFonts w:ascii="楷体" w:eastAsia="楷体" w:hAnsi="楷体" w:cs="楷体" w:hint="eastAsia"/>
          <w:sz w:val="30"/>
          <w:szCs w:val="30"/>
        </w:rPr>
        <w:t>示</w:t>
      </w:r>
      <w:r>
        <w:rPr>
          <w:rFonts w:ascii="楷体" w:eastAsia="楷体" w:hAnsi="楷体" w:cs="楷体" w:hint="eastAsia"/>
          <w:sz w:val="30"/>
          <w:szCs w:val="30"/>
        </w:rPr>
        <w:t>证券公司在销售理财产品的合规及合法性，</w:t>
      </w:r>
      <w:r>
        <w:rPr>
          <w:rFonts w:ascii="楷体" w:eastAsia="楷体" w:hAnsi="楷体" w:cs="楷体" w:hint="eastAsia"/>
          <w:sz w:val="30"/>
          <w:szCs w:val="30"/>
        </w:rPr>
        <w:t>并未发现证券公司违反法律和证券行业自律规范的行为。客户作为投资者，有责任对所购买的产品进行详细的了解，预判可能存在的风险，并且在出现投资失误的情况下独立承担投资损失。经过协会调解员的耐心调解，双方的态度有所缓和，证券公司表示将尽自己最大的努力为客户进行产品赎回，该投诉纠纷最终圆满解决。</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四、发生的原因分析（争议焦点）：</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客户缺乏投资经验，对产品风险认识不足。证券公司在销售该类产品时是否应当承担更多的责任？</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五、办理的法律依据：</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根据《投资者适当性管理指引》与国务院办公厅《关于进一步加强资本市</w:t>
      </w:r>
      <w:r>
        <w:rPr>
          <w:rFonts w:ascii="楷体" w:eastAsia="楷体" w:hAnsi="楷体" w:cs="楷体" w:hint="eastAsia"/>
          <w:sz w:val="30"/>
          <w:szCs w:val="30"/>
        </w:rPr>
        <w:t>场中小投资者合法权益保护工作的意见》国办发〔</w:t>
      </w:r>
      <w:r>
        <w:rPr>
          <w:rFonts w:ascii="楷体" w:eastAsia="楷体" w:hAnsi="楷体" w:cs="楷体" w:hint="eastAsia"/>
          <w:sz w:val="30"/>
          <w:szCs w:val="30"/>
        </w:rPr>
        <w:t>2013</w:t>
      </w:r>
      <w:r>
        <w:rPr>
          <w:rFonts w:ascii="楷体" w:eastAsia="楷体" w:hAnsi="楷体" w:cs="楷体" w:hint="eastAsia"/>
          <w:sz w:val="30"/>
          <w:szCs w:val="30"/>
        </w:rPr>
        <w:t>〕</w:t>
      </w:r>
      <w:r>
        <w:rPr>
          <w:rFonts w:ascii="楷体" w:eastAsia="楷体" w:hAnsi="楷体" w:cs="楷体" w:hint="eastAsia"/>
          <w:sz w:val="30"/>
          <w:szCs w:val="30"/>
        </w:rPr>
        <w:t>110</w:t>
      </w:r>
      <w:r>
        <w:rPr>
          <w:rFonts w:ascii="楷体" w:eastAsia="楷体" w:hAnsi="楷体" w:cs="楷体" w:hint="eastAsia"/>
          <w:sz w:val="30"/>
          <w:szCs w:val="30"/>
        </w:rPr>
        <w:t>号文。</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六、经验总结：</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1</w:t>
      </w:r>
      <w:r>
        <w:rPr>
          <w:rFonts w:ascii="楷体" w:eastAsia="楷体" w:hAnsi="楷体" w:cs="楷体" w:hint="eastAsia"/>
          <w:sz w:val="30"/>
          <w:szCs w:val="30"/>
        </w:rPr>
        <w:t>、此案经过</w:t>
      </w:r>
      <w:r>
        <w:rPr>
          <w:rFonts w:ascii="楷体" w:eastAsia="楷体" w:hAnsi="楷体" w:cs="楷体" w:hint="eastAsia"/>
          <w:sz w:val="30"/>
          <w:szCs w:val="30"/>
        </w:rPr>
        <w:t xml:space="preserve"> 3</w:t>
      </w:r>
      <w:r>
        <w:rPr>
          <w:rFonts w:ascii="楷体" w:eastAsia="楷体" w:hAnsi="楷体" w:cs="楷体" w:hint="eastAsia"/>
          <w:sz w:val="30"/>
          <w:szCs w:val="30"/>
        </w:rPr>
        <w:t>个多月的反复沟通，协会调解员在其中做了大量的调解、劝说工作，最终成功调解结案，这其中倾注了调解</w:t>
      </w:r>
      <w:r>
        <w:rPr>
          <w:rFonts w:ascii="楷体" w:eastAsia="楷体" w:hAnsi="楷体" w:cs="楷体" w:hint="eastAsia"/>
          <w:sz w:val="30"/>
          <w:szCs w:val="30"/>
        </w:rPr>
        <w:lastRenderedPageBreak/>
        <w:t>员辛勤的劳动和丰富的调解智慧。</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2</w:t>
      </w:r>
      <w:r>
        <w:rPr>
          <w:rFonts w:ascii="楷体" w:eastAsia="楷体" w:hAnsi="楷体" w:cs="楷体" w:hint="eastAsia"/>
          <w:sz w:val="30"/>
          <w:szCs w:val="30"/>
        </w:rPr>
        <w:t>、面对客户过高的经济诉求预期，调解员耐心客观地为投资者分析其投资行为，并向其灌输买者自负的投资理念，使投资者逐渐认识到其作为投资人应当承担的责任，并逐渐降低了诉求预期。</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3</w:t>
      </w:r>
      <w:r>
        <w:rPr>
          <w:rFonts w:ascii="楷体" w:eastAsia="楷体" w:hAnsi="楷体" w:cs="楷体" w:hint="eastAsia"/>
          <w:sz w:val="30"/>
          <w:szCs w:val="30"/>
        </w:rPr>
        <w:t>、在公司方面，调解员肯定公司在产品销售过程中的合法及合规性，但调解员强调在投资者权益保护方面，应</w:t>
      </w:r>
      <w:r>
        <w:rPr>
          <w:rFonts w:ascii="楷体" w:eastAsia="楷体" w:hAnsi="楷体" w:cs="楷体" w:hint="eastAsia"/>
          <w:sz w:val="30"/>
          <w:szCs w:val="30"/>
        </w:rPr>
        <w:t>加强投资者适当性管理的工作，并向其推荐适合其风险承受能力的产品，满足不同客户的投资需求。</w:t>
      </w:r>
    </w:p>
    <w:p w:rsidR="00F870DD" w:rsidRDefault="00303282">
      <w:pPr>
        <w:rPr>
          <w:rFonts w:ascii="楷体" w:eastAsia="楷体" w:hAnsi="楷体" w:cs="楷体"/>
          <w:sz w:val="30"/>
          <w:szCs w:val="30"/>
        </w:rPr>
      </w:pPr>
      <w:r>
        <w:rPr>
          <w:rFonts w:ascii="楷体" w:eastAsia="楷体" w:hAnsi="楷体" w:cs="楷体" w:hint="eastAsia"/>
          <w:sz w:val="30"/>
          <w:szCs w:val="30"/>
        </w:rPr>
        <w:t xml:space="preserve">　　通过调解，投资者和公司在此投诉中对协会调解工作给予肯定，称其充分发挥了行业自律组织在维护市场主体合法权益方面的积极作用，既提高了证券公司对投资者权益保护工作上的认识，也强化了证券公司在投资者保护方面的责任，较好地维护证券市场的稳定发展。</w:t>
      </w:r>
    </w:p>
    <w:sectPr w:rsidR="00F870DD" w:rsidSect="00F870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82" w:rsidRDefault="00303282" w:rsidP="0077696C">
      <w:r>
        <w:separator/>
      </w:r>
    </w:p>
  </w:endnote>
  <w:endnote w:type="continuationSeparator" w:id="1">
    <w:p w:rsidR="00303282" w:rsidRDefault="00303282" w:rsidP="00776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82" w:rsidRDefault="00303282" w:rsidP="0077696C">
      <w:r>
        <w:separator/>
      </w:r>
    </w:p>
  </w:footnote>
  <w:footnote w:type="continuationSeparator" w:id="1">
    <w:p w:rsidR="00303282" w:rsidRDefault="00303282" w:rsidP="00776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0DD"/>
    <w:rsid w:val="00303282"/>
    <w:rsid w:val="0077696C"/>
    <w:rsid w:val="00F870DD"/>
    <w:rsid w:val="039958E0"/>
    <w:rsid w:val="2EE66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0DD"/>
    <w:pPr>
      <w:widowControl w:val="0"/>
      <w:jc w:val="both"/>
    </w:pPr>
    <w:rPr>
      <w:kern w:val="2"/>
      <w:sz w:val="21"/>
      <w:szCs w:val="24"/>
    </w:rPr>
  </w:style>
  <w:style w:type="paragraph" w:styleId="3">
    <w:name w:val="heading 3"/>
    <w:basedOn w:val="a"/>
    <w:next w:val="a"/>
    <w:unhideWhenUsed/>
    <w:qFormat/>
    <w:rsid w:val="00F870D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6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696C"/>
    <w:rPr>
      <w:kern w:val="2"/>
      <w:sz w:val="18"/>
      <w:szCs w:val="18"/>
    </w:rPr>
  </w:style>
  <w:style w:type="paragraph" w:styleId="a4">
    <w:name w:val="footer"/>
    <w:basedOn w:val="a"/>
    <w:link w:val="Char0"/>
    <w:rsid w:val="0077696C"/>
    <w:pPr>
      <w:tabs>
        <w:tab w:val="center" w:pos="4153"/>
        <w:tab w:val="right" w:pos="8306"/>
      </w:tabs>
      <w:snapToGrid w:val="0"/>
      <w:jc w:val="left"/>
    </w:pPr>
    <w:rPr>
      <w:sz w:val="18"/>
      <w:szCs w:val="18"/>
    </w:rPr>
  </w:style>
  <w:style w:type="character" w:customStyle="1" w:styleId="Char0">
    <w:name w:val="页脚 Char"/>
    <w:basedOn w:val="a0"/>
    <w:link w:val="a4"/>
    <w:rsid w:val="007769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002675</cp:lastModifiedBy>
  <cp:revision>2</cp:revision>
  <dcterms:created xsi:type="dcterms:W3CDTF">2018-04-09T06:49:00Z</dcterms:created>
  <dcterms:modified xsi:type="dcterms:W3CDTF">2018-04-09T06:49:00Z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