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Style w:val="5"/>
          <w:rFonts w:hint="eastAsia"/>
          <w:b/>
          <w:color w:val="1F4E79" w:themeColor="accent1" w:themeShade="80"/>
        </w:rPr>
        <w:t>“理性投资，从我做起”投资者教育专项活动投教案例</w:t>
      </w:r>
      <w:r>
        <w:rPr>
          <w:rStyle w:val="5"/>
          <w:rFonts w:hint="eastAsia"/>
          <w:b/>
          <w:color w:val="1F4E79" w:themeColor="accent1" w:themeShade="80"/>
          <w:lang w:val="en-US" w:eastAsia="zh-CN"/>
        </w:rPr>
        <w:t>34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连续上涨有蹊跷，交易活跃含假象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 股票交易中，多数投资者对股价单日涨幅或振幅过大的股票有较高警惕性，认为如果没有利好的公告或政策性利好信息，涨幅或振幅较大的股票中存在市场操纵行为的嫌疑较大。而对于单日涨幅或振幅不大，但在一段时期内走出漂亮上涨趋势的股票，其交易中是否存在市场操纵行为，却不容易辨别。不少投资者存在这样的疑问：如果只是连续买入卖出一只股票，对单日的股价没有明显的影响，也可能构成市场操纵行为吗？以下一则案例可以解答这个问题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2015 年 7 月 10 日至 8 月 28 日，股票“X”的 K 线走势详见下图： 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drawing>
          <wp:inline distT="0" distB="0" distL="114300" distR="114300">
            <wp:extent cx="5234305" cy="2825115"/>
            <wp:effectExtent l="0" t="0" r="4445" b="13335"/>
            <wp:docPr id="1" name="图片 1" descr="QQ截图2018031615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3161521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一个多月时间内，股票“X”的股价连续上涨，是公司价值被发现，还是交易另有故事？证监会的处罚决定书揭示了该股上涨的原因：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中鑫富盈是一家私募基金管理公司，作为投资顾问运营“A 信托——宏赢 206 号”等 11 个证券账户，实际投资决策由李某某负责；吴某某控制“A 信托——凤凰花香二号”等 18 个信托账户和 4 个个人账户。中鑫富盈和吴某某合谋，一起交易股票“X”谋利。在 7 月10 日至 8 月 28 日的 35 个交易日内，中鑫富盈和吴某某控制的账户每日并未明显触发拉抬、打压、虚假申报等短线操纵行为的指标，但通过相关交易行为，竟分别盈利 1.47 亿元和 1.74 亿元。证监会认定中鑫富盈和吴某某控制账户进行交易的违法行为包括：  </w:t>
      </w:r>
    </w:p>
    <w:p>
      <w:pPr>
        <w:rPr>
          <w:rFonts w:hint="eastAsia" w:ascii="华文细黑" w:hAnsi="华文细黑" w:eastAsia="华文细黑" w:cs="华文细黑"/>
          <w:color w:val="0000FF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0000FF"/>
          <w:sz w:val="24"/>
          <w:szCs w:val="24"/>
        </w:rPr>
        <w:t xml:space="preserve"> 1、连续交易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买入数量占市场成交量超过 10%的有 25 个交易日，超过 20%的有 18 个交易日，超过 30%的有 6 个交易日。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买入金额超过 1,000 万元的有 29 个交易日，超过 5,000 万元的有 12 个交易日，超过 10,000 万元的有 6 个交易日。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卖出数量占市场成交量超过 10%的有 13 个交易日，超过 20%的有 7 个交易日，超过 60%的有 2 个交易日。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持有股票“X”占其流通股超过 10%的有 13 个交易日。 </w:t>
      </w:r>
    </w:p>
    <w:p>
      <w:pPr>
        <w:rPr>
          <w:rFonts w:hint="eastAsia" w:ascii="华文细黑" w:hAnsi="华文细黑" w:eastAsia="华文细黑" w:cs="华文细黑"/>
          <w:color w:val="0000FF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0000FF"/>
          <w:sz w:val="24"/>
          <w:szCs w:val="24"/>
        </w:rPr>
        <w:t xml:space="preserve">2、在实际控制的账户间交易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在其实际控制的证券账户之间交易股票“X”712 万股，占市场成交量比例超过 5%的有 5 个交易日。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《证券法》第七十七条第一款第（一）项和第（三）项规定了两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类市场操纵行为，分别为“单独或者通过合谋，集中资金优势、持股优势或者利用信息优势联合或者连续买卖”，以及“在自己实际控制的账户之间进行证券交易”，影响证券交易价格或者证券交易量的行为。此案例中，中鑫富盈和吴某某同时实施了该两类行为。连续交易操纵实施的期限一般较长，在自己实际控制的账户间交易实际并未转移股票的所有权，仅制造交易活跃的假象。与拉抬打压等短线操纵行为相比，连续交易操纵和在实际控制的账户间交易操纵的行为隐蔽性更强，需要仔细分析判断才能识别出违法行为。 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投资者进行市场投资时，应遵从符合价值规律的理性投资方式，结合市场、行业和公司的情况进行冷静分析，警惕被市场操纵者制造的交易活跃、缓慢上涨的虚假繁荣蒙骗，造成投资损失。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67F48"/>
    <w:rsid w:val="3ECE0F5C"/>
    <w:rsid w:val="4B9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2018-05-04T00:59:58Z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