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DB" w:rsidRDefault="006E188B" w:rsidP="006E188B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ETF投资修炼手册（</w:t>
      </w:r>
      <w:r w:rsidR="0047375B">
        <w:rPr>
          <w:rFonts w:ascii="黑体" w:eastAsia="黑体" w:hAnsi="黑体" w:hint="eastAsia"/>
          <w:b/>
          <w:sz w:val="36"/>
          <w:szCs w:val="36"/>
        </w:rPr>
        <w:t>三</w:t>
      </w:r>
      <w:r>
        <w:rPr>
          <w:rFonts w:ascii="黑体" w:eastAsia="黑体" w:hAnsi="黑体" w:hint="eastAsia"/>
          <w:b/>
          <w:sz w:val="36"/>
          <w:szCs w:val="36"/>
        </w:rPr>
        <w:t>）：</w:t>
      </w:r>
      <w:r w:rsidR="0047375B" w:rsidRPr="00BB6CF3">
        <w:rPr>
          <w:rFonts w:ascii="黑体" w:eastAsia="黑体" w:hAnsi="黑体" w:hint="eastAsia"/>
          <w:b/>
          <w:sz w:val="36"/>
          <w:szCs w:val="36"/>
        </w:rPr>
        <w:t>风险篇</w:t>
      </w:r>
    </w:p>
    <w:p w:rsidR="000E77F9" w:rsidRDefault="000E77F9" w:rsidP="000E77F9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47375B" w:rsidRDefault="0047375B" w:rsidP="0047375B">
      <w:pPr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1、参与ETF投资有哪些需注意的事项？</w:t>
      </w:r>
    </w:p>
    <w:p w:rsidR="0047375B" w:rsidRDefault="0047375B" w:rsidP="0047375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答：投资者参与ETF投资需注意如下事项：</w:t>
      </w:r>
    </w:p>
    <w:p w:rsidR="0047375B" w:rsidRDefault="0047375B" w:rsidP="0047375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一是投资者需要了解自己的投资需求；</w:t>
      </w:r>
    </w:p>
    <w:p w:rsidR="0047375B" w:rsidRDefault="0047375B" w:rsidP="0047375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二是要关注ETF的流动性和跟踪效果；</w:t>
      </w:r>
    </w:p>
    <w:p w:rsidR="0047375B" w:rsidRDefault="0047375B" w:rsidP="0047375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三是应了解ETF投资的风险。</w:t>
      </w:r>
    </w:p>
    <w:p w:rsidR="0047375B" w:rsidRDefault="0047375B" w:rsidP="0047375B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47375B" w:rsidRDefault="0047375B" w:rsidP="0047375B">
      <w:pPr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2、ETF投资风险有哪些？</w:t>
      </w:r>
      <w:r>
        <w:rPr>
          <w:rFonts w:ascii="仿宋_GB2312" w:eastAsia="仿宋_GB2312" w:hAnsi="仿宋" w:cs="仿宋"/>
          <w:b/>
          <w:bCs/>
          <w:sz w:val="30"/>
          <w:szCs w:val="30"/>
        </w:rPr>
        <w:t xml:space="preserve"> </w:t>
      </w:r>
    </w:p>
    <w:p w:rsidR="0047375B" w:rsidRDefault="0047375B" w:rsidP="0047375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答：作为一种创新型基金产品，ETF的投资风险主要有：</w:t>
      </w:r>
    </w:p>
    <w:p w:rsidR="0047375B" w:rsidRDefault="0047375B" w:rsidP="0047375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一是包括整个金融市场所蕴含的风险，即系统风险；</w:t>
      </w:r>
    </w:p>
    <w:p w:rsidR="0047375B" w:rsidRDefault="0047375B" w:rsidP="0047375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二是包括所有开放式基金所共有的风险，比如，流动性风险、代理风险、申购赎回失败的风险等。</w:t>
      </w:r>
    </w:p>
    <w:p w:rsidR="0047375B" w:rsidRDefault="0047375B" w:rsidP="0047375B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47375B" w:rsidRDefault="0047375B" w:rsidP="0047375B">
      <w:pPr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3、常用的ETF投资策略有哪些？</w:t>
      </w:r>
      <w:r>
        <w:rPr>
          <w:rFonts w:ascii="仿宋_GB2312" w:eastAsia="仿宋_GB2312" w:hAnsi="仿宋" w:cs="仿宋"/>
          <w:b/>
          <w:bCs/>
          <w:sz w:val="30"/>
          <w:szCs w:val="30"/>
        </w:rPr>
        <w:t xml:space="preserve"> </w:t>
      </w:r>
    </w:p>
    <w:p w:rsidR="0047375B" w:rsidRDefault="0047375B" w:rsidP="0047375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答：ETF投资组合的管理策略有很多种，包括买入持有策略、核心卫星策略、板块轮动策略等。</w:t>
      </w:r>
    </w:p>
    <w:p w:rsidR="0047375B" w:rsidRDefault="0047375B" w:rsidP="0047375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投资者需了解，无论所使用的是哪种策略，要想获得成功，至关重要的是要有指数</w:t>
      </w:r>
      <w:proofErr w:type="gramStart"/>
      <w:r>
        <w:rPr>
          <w:rFonts w:ascii="仿宋_GB2312" w:eastAsia="仿宋_GB2312" w:hint="eastAsia"/>
          <w:sz w:val="30"/>
          <w:szCs w:val="30"/>
        </w:rPr>
        <w:t>化投资</w:t>
      </w:r>
      <w:proofErr w:type="gramEnd"/>
      <w:r>
        <w:rPr>
          <w:rFonts w:ascii="仿宋_GB2312" w:eastAsia="仿宋_GB2312" w:hint="eastAsia"/>
          <w:sz w:val="30"/>
          <w:szCs w:val="30"/>
        </w:rPr>
        <w:t>的理念，根据投资目标制定计划并实施到底。</w:t>
      </w:r>
    </w:p>
    <w:p w:rsidR="0047375B" w:rsidRDefault="0047375B" w:rsidP="0047375B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47375B" w:rsidRDefault="0047375B" w:rsidP="0047375B">
      <w:pPr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4</w:t>
      </w:r>
      <w:r>
        <w:rPr>
          <w:rFonts w:ascii="仿宋_GB2312" w:eastAsia="仿宋_GB2312" w:hAnsi="仿宋" w:cs="仿宋"/>
          <w:b/>
          <w:bCs/>
          <w:sz w:val="30"/>
          <w:szCs w:val="30"/>
        </w:rPr>
        <w:t>、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ETF风险对冲与套利的</w:t>
      </w:r>
      <w:r>
        <w:rPr>
          <w:rFonts w:ascii="仿宋_GB2312" w:eastAsia="仿宋_GB2312" w:hAnsi="仿宋" w:cs="仿宋"/>
          <w:b/>
          <w:bCs/>
          <w:sz w:val="30"/>
          <w:szCs w:val="30"/>
        </w:rPr>
        <w:t>主要模式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包括哪些？</w:t>
      </w:r>
      <w:r>
        <w:rPr>
          <w:rFonts w:ascii="仿宋_GB2312" w:eastAsia="仿宋_GB2312" w:hAnsi="仿宋" w:cs="仿宋"/>
          <w:b/>
          <w:bCs/>
          <w:sz w:val="30"/>
          <w:szCs w:val="30"/>
        </w:rPr>
        <w:t xml:space="preserve"> </w:t>
      </w:r>
    </w:p>
    <w:p w:rsidR="0047375B" w:rsidRDefault="0047375B" w:rsidP="0047375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答：</w:t>
      </w:r>
      <w:r>
        <w:rPr>
          <w:rFonts w:ascii="仿宋_GB2312" w:eastAsia="仿宋_GB2312" w:hAnsi="仿宋" w:cs="仿宋" w:hint="eastAsia"/>
          <w:bCs/>
          <w:sz w:val="30"/>
          <w:szCs w:val="30"/>
        </w:rPr>
        <w:t>ETF风险对冲与套利的</w:t>
      </w:r>
      <w:r>
        <w:rPr>
          <w:rFonts w:ascii="仿宋_GB2312" w:eastAsia="仿宋_GB2312" w:hAnsi="仿宋" w:cs="仿宋"/>
          <w:bCs/>
          <w:sz w:val="30"/>
          <w:szCs w:val="30"/>
        </w:rPr>
        <w:t>主要模式</w:t>
      </w:r>
      <w:r>
        <w:rPr>
          <w:rFonts w:ascii="仿宋_GB2312" w:eastAsia="仿宋_GB2312" w:hAnsi="仿宋" w:cs="仿宋" w:hint="eastAsia"/>
          <w:bCs/>
          <w:sz w:val="30"/>
          <w:szCs w:val="30"/>
        </w:rPr>
        <w:t>包括，“T+0”套利策略、公司事件引发的套利策略、ETF产品之间的组合套利策略、ETF期现套利与高频交易策略与基于融资融券的交易策略。</w:t>
      </w:r>
    </w:p>
    <w:p w:rsidR="0047375B" w:rsidRDefault="0047375B" w:rsidP="0047375B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47375B" w:rsidRDefault="0047375B" w:rsidP="0047375B">
      <w:pPr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5</w:t>
      </w:r>
      <w:r>
        <w:rPr>
          <w:rFonts w:ascii="仿宋_GB2312" w:eastAsia="仿宋_GB2312" w:hAnsi="仿宋" w:cs="仿宋"/>
          <w:b/>
          <w:bCs/>
          <w:sz w:val="30"/>
          <w:szCs w:val="30"/>
        </w:rPr>
        <w:t>、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ETF风险对冲与套利的</w:t>
      </w:r>
      <w:r>
        <w:rPr>
          <w:rFonts w:ascii="仿宋_GB2312" w:eastAsia="仿宋_GB2312" w:hAnsi="仿宋" w:cs="仿宋"/>
          <w:b/>
          <w:bCs/>
          <w:sz w:val="30"/>
          <w:szCs w:val="30"/>
        </w:rPr>
        <w:t>主要风险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有哪些？</w:t>
      </w:r>
      <w:r>
        <w:rPr>
          <w:rFonts w:ascii="仿宋_GB2312" w:eastAsia="仿宋_GB2312" w:hAnsi="仿宋" w:cs="仿宋"/>
          <w:b/>
          <w:bCs/>
          <w:sz w:val="30"/>
          <w:szCs w:val="30"/>
        </w:rPr>
        <w:t xml:space="preserve"> </w:t>
      </w:r>
    </w:p>
    <w:p w:rsidR="0047375B" w:rsidRDefault="0047375B" w:rsidP="0047375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答：ETF</w:t>
      </w:r>
      <w:r>
        <w:rPr>
          <w:rFonts w:ascii="仿宋_GB2312" w:eastAsia="仿宋_GB2312" w:hAnsi="仿宋" w:cs="仿宋" w:hint="eastAsia"/>
          <w:bCs/>
          <w:sz w:val="30"/>
          <w:szCs w:val="30"/>
        </w:rPr>
        <w:t>风险对冲与套利的</w:t>
      </w:r>
      <w:r>
        <w:rPr>
          <w:rFonts w:ascii="仿宋_GB2312" w:eastAsia="仿宋_GB2312" w:hAnsi="仿宋" w:cs="仿宋"/>
          <w:bCs/>
          <w:sz w:val="30"/>
          <w:szCs w:val="30"/>
        </w:rPr>
        <w:t>主要风险</w:t>
      </w:r>
      <w:r>
        <w:rPr>
          <w:rFonts w:ascii="仿宋_GB2312" w:eastAsia="仿宋_GB2312" w:hAnsi="仿宋" w:cs="仿宋" w:hint="eastAsia"/>
          <w:bCs/>
          <w:sz w:val="30"/>
          <w:szCs w:val="30"/>
        </w:rPr>
        <w:t>包括，市场流动性风险、对冲有效性不足的风险、ETF申购赎回清单的错误风险以及ETF现金替代模式的成本不确定风险。</w:t>
      </w:r>
    </w:p>
    <w:p w:rsidR="006E188B" w:rsidRPr="0047375B" w:rsidRDefault="006E188B" w:rsidP="000E77F9"/>
    <w:sectPr w:rsidR="006E188B" w:rsidRPr="0047375B" w:rsidSect="00322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88B"/>
    <w:rsid w:val="000246DF"/>
    <w:rsid w:val="000E77F9"/>
    <w:rsid w:val="00112242"/>
    <w:rsid w:val="00322BDB"/>
    <w:rsid w:val="0047375B"/>
    <w:rsid w:val="00637FB8"/>
    <w:rsid w:val="006E188B"/>
    <w:rsid w:val="00A0412D"/>
    <w:rsid w:val="00B17318"/>
    <w:rsid w:val="00DE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37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7F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7F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7FB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37F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0246D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246DF"/>
    <w:rPr>
      <w:rFonts w:asciiTheme="majorHAnsi" w:eastAsia="宋体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0246DF"/>
    <w:pPr>
      <w:outlineLvl w:val="9"/>
    </w:pPr>
  </w:style>
  <w:style w:type="character" w:customStyle="1" w:styleId="3Char">
    <w:name w:val="标题 3 Char"/>
    <w:basedOn w:val="a0"/>
    <w:link w:val="3"/>
    <w:uiPriority w:val="9"/>
    <w:semiHidden/>
    <w:rsid w:val="00637FB8"/>
    <w:rPr>
      <w:b/>
      <w:bCs/>
      <w:sz w:val="32"/>
      <w:szCs w:val="32"/>
    </w:rPr>
  </w:style>
  <w:style w:type="paragraph" w:styleId="a4">
    <w:name w:val="No Spacing"/>
    <w:link w:val="Char0"/>
    <w:uiPriority w:val="1"/>
    <w:qFormat/>
    <w:rsid w:val="00637FB8"/>
    <w:rPr>
      <w:kern w:val="0"/>
      <w:sz w:val="22"/>
    </w:rPr>
  </w:style>
  <w:style w:type="character" w:customStyle="1" w:styleId="Char0">
    <w:name w:val="无间隔 Char"/>
    <w:basedOn w:val="a0"/>
    <w:link w:val="a4"/>
    <w:uiPriority w:val="1"/>
    <w:rsid w:val="00637FB8"/>
    <w:rPr>
      <w:kern w:val="0"/>
      <w:sz w:val="22"/>
    </w:rPr>
  </w:style>
  <w:style w:type="paragraph" w:customStyle="1" w:styleId="10">
    <w:name w:val="次标题1"/>
    <w:basedOn w:val="a"/>
    <w:link w:val="1Char0"/>
    <w:qFormat/>
    <w:rsid w:val="00637FB8"/>
    <w:pPr>
      <w:ind w:firstLineChars="200" w:firstLine="600"/>
    </w:pPr>
    <w:rPr>
      <w:rFonts w:ascii="黑体" w:eastAsia="黑体" w:hAnsi="黑体"/>
      <w:sz w:val="30"/>
      <w:szCs w:val="30"/>
    </w:rPr>
  </w:style>
  <w:style w:type="character" w:customStyle="1" w:styleId="1Char0">
    <w:name w:val="次标题1 Char"/>
    <w:basedOn w:val="a0"/>
    <w:link w:val="10"/>
    <w:rsid w:val="00637FB8"/>
    <w:rPr>
      <w:rFonts w:ascii="黑体" w:eastAsia="黑体" w:hAnsi="黑体"/>
      <w:sz w:val="30"/>
      <w:szCs w:val="30"/>
    </w:rPr>
  </w:style>
  <w:style w:type="paragraph" w:customStyle="1" w:styleId="20">
    <w:name w:val="此标题2"/>
    <w:basedOn w:val="a"/>
    <w:link w:val="2Char0"/>
    <w:qFormat/>
    <w:rsid w:val="00637FB8"/>
    <w:pPr>
      <w:ind w:firstLineChars="200" w:firstLine="602"/>
    </w:pPr>
    <w:rPr>
      <w:rFonts w:ascii="楷体_GB2312" w:eastAsia="楷体_GB2312" w:hAnsi="黑体"/>
      <w:b/>
      <w:sz w:val="30"/>
      <w:szCs w:val="30"/>
    </w:rPr>
  </w:style>
  <w:style w:type="character" w:customStyle="1" w:styleId="2Char0">
    <w:name w:val="此标题2 Char"/>
    <w:basedOn w:val="a0"/>
    <w:link w:val="20"/>
    <w:rsid w:val="00637FB8"/>
    <w:rPr>
      <w:rFonts w:ascii="楷体_GB2312" w:eastAsia="楷体_GB2312" w:hAnsi="黑体"/>
      <w:b/>
      <w:sz w:val="30"/>
      <w:szCs w:val="30"/>
    </w:rPr>
  </w:style>
  <w:style w:type="paragraph" w:customStyle="1" w:styleId="30">
    <w:name w:val="次标题3"/>
    <w:basedOn w:val="a"/>
    <w:link w:val="3Char0"/>
    <w:qFormat/>
    <w:rsid w:val="00637FB8"/>
    <w:pPr>
      <w:ind w:firstLineChars="200" w:firstLine="602"/>
    </w:pPr>
    <w:rPr>
      <w:rFonts w:ascii="楷体_GB2312" w:eastAsia="楷体_GB2312" w:hAnsi="黑体"/>
      <w:b/>
      <w:sz w:val="30"/>
      <w:szCs w:val="30"/>
    </w:rPr>
  </w:style>
  <w:style w:type="character" w:customStyle="1" w:styleId="3Char0">
    <w:name w:val="次标题3 Char"/>
    <w:basedOn w:val="a0"/>
    <w:link w:val="30"/>
    <w:rsid w:val="00637FB8"/>
    <w:rPr>
      <w:rFonts w:ascii="楷体_GB2312" w:eastAsia="楷体_GB2312" w:hAnsi="黑体"/>
      <w:b/>
      <w:sz w:val="30"/>
      <w:szCs w:val="30"/>
    </w:rPr>
  </w:style>
  <w:style w:type="paragraph" w:customStyle="1" w:styleId="11">
    <w:name w:val="正文1"/>
    <w:basedOn w:val="a"/>
    <w:link w:val="Char1"/>
    <w:qFormat/>
    <w:rsid w:val="00637FB8"/>
    <w:pPr>
      <w:ind w:firstLineChars="200" w:firstLine="600"/>
    </w:pPr>
    <w:rPr>
      <w:rFonts w:ascii="仿宋_GB2312" w:eastAsia="仿宋_GB2312" w:hAnsi="黑体"/>
      <w:sz w:val="30"/>
      <w:szCs w:val="30"/>
    </w:rPr>
  </w:style>
  <w:style w:type="character" w:customStyle="1" w:styleId="Char1">
    <w:name w:val="正文 Char"/>
    <w:basedOn w:val="a0"/>
    <w:link w:val="11"/>
    <w:rsid w:val="00637FB8"/>
    <w:rPr>
      <w:rFonts w:ascii="仿宋_GB2312" w:eastAsia="仿宋_GB2312" w:hAnsi="黑体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2019-10-31T03:36:00Z</dcterms:created>
  <dcterms:modified xsi:type="dcterms:W3CDTF">2019-10-31T03:36:00Z</dcterms:modified>
</cp:coreProperties>
</file>