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287"/>
        <w:rPr>
          <w:rFonts w:ascii="仿宋_GB2312" w:eastAsia="仿宋_GB2312"/>
          <w:spacing w:val="-6"/>
          <w:sz w:val="32"/>
        </w:rPr>
      </w:pPr>
      <w:bookmarkStart w:id="0" w:name="_GoBack"/>
      <w:bookmarkEnd w:id="0"/>
      <w:r>
        <w:rPr>
          <w:rFonts w:hint="eastAsia" w:ascii="仿宋_GB2312" w:eastAsia="仿宋_GB2312"/>
          <w:spacing w:val="-6"/>
          <w:sz w:val="32"/>
        </w:rPr>
        <w:t>附件：</w:t>
      </w:r>
    </w:p>
    <w:p>
      <w:pPr>
        <w:jc w:val="center"/>
        <w:rPr>
          <w:rFonts w:ascii="宋体" w:cs="仿宋_GB2312"/>
          <w:b/>
          <w:kern w:val="0"/>
          <w:sz w:val="44"/>
          <w:szCs w:val="44"/>
        </w:rPr>
      </w:pPr>
      <w:r>
        <w:rPr>
          <w:rFonts w:hint="eastAsia" w:ascii="宋体" w:hAnsi="宋体" w:cs="仿宋_GB2312"/>
          <w:b/>
          <w:kern w:val="0"/>
          <w:sz w:val="44"/>
          <w:szCs w:val="44"/>
        </w:rPr>
        <w:t>标准券折算率（值）管理办法</w:t>
      </w:r>
    </w:p>
    <w:p>
      <w:pPr>
        <w:jc w:val="center"/>
        <w:rPr>
          <w:rFonts w:ascii="宋体" w:cs="仿宋_GB2312"/>
          <w:b/>
          <w:kern w:val="0"/>
          <w:sz w:val="32"/>
          <w:szCs w:val="32"/>
        </w:rPr>
      </w:pPr>
      <w:r>
        <w:rPr>
          <w:rFonts w:hint="eastAsia" w:ascii="宋体" w:hAnsi="宋体" w:cs="仿宋_GB2312"/>
          <w:b/>
          <w:kern w:val="0"/>
          <w:sz w:val="32"/>
          <w:szCs w:val="32"/>
        </w:rPr>
        <w:t>（</w:t>
      </w:r>
      <w:r>
        <w:rPr>
          <w:rFonts w:ascii="宋体" w:hAnsi="宋体" w:cs="仿宋_GB2312"/>
          <w:b/>
          <w:kern w:val="0"/>
          <w:sz w:val="32"/>
          <w:szCs w:val="32"/>
        </w:rPr>
        <w:t>2020</w:t>
      </w:r>
      <w:r>
        <w:rPr>
          <w:rFonts w:hint="eastAsia" w:ascii="宋体" w:hAnsi="宋体" w:cs="仿宋_GB2312"/>
          <w:b/>
          <w:kern w:val="0"/>
          <w:sz w:val="32"/>
          <w:szCs w:val="32"/>
        </w:rPr>
        <w:t>年修订版）</w:t>
      </w:r>
    </w:p>
    <w:p>
      <w:pPr>
        <w:rPr>
          <w:rFonts w:ascii="仿宋_GB2312" w:hAnsi="宋体" w:eastAsia="仿宋_GB2312"/>
          <w:sz w:val="32"/>
        </w:rPr>
      </w:pPr>
    </w:p>
    <w:p>
      <w:pPr>
        <w:ind w:firstLine="641" w:firstLineChars="200"/>
        <w:rPr>
          <w:rFonts w:ascii="仿宋_GB2312" w:hAnsi="宋体" w:eastAsia="仿宋_GB2312"/>
          <w:sz w:val="32"/>
        </w:rPr>
      </w:pPr>
      <w:r>
        <w:rPr>
          <w:rFonts w:hint="eastAsia" w:ascii="仿宋_GB2312" w:hAnsi="宋体" w:eastAsia="仿宋_GB2312"/>
          <w:b/>
          <w:sz w:val="32"/>
        </w:rPr>
        <w:t>第一条</w:t>
      </w:r>
      <w:r>
        <w:rPr>
          <w:rFonts w:ascii="仿宋_GB2312" w:hAnsi="宋体" w:eastAsia="仿宋_GB2312"/>
          <w:b/>
          <w:sz w:val="32"/>
        </w:rPr>
        <w:t xml:space="preserve"> </w:t>
      </w:r>
      <w:r>
        <w:rPr>
          <w:rFonts w:ascii="仿宋_GB2312" w:hAnsi="宋体" w:eastAsia="仿宋_GB2312"/>
          <w:sz w:val="32"/>
        </w:rPr>
        <w:tab/>
      </w:r>
      <w:r>
        <w:rPr>
          <w:rFonts w:hint="eastAsia" w:ascii="仿宋_GB2312" w:hAnsi="宋体" w:eastAsia="仿宋_GB2312"/>
          <w:sz w:val="32"/>
        </w:rPr>
        <w:t>为规范证券交易所市场纳入多边净额结算业务的质押式回购（以下简称“回购”）标准券管理，防范回购交易结算风险，根据有关法律、部门规章、中国证券登记结算有限责任公司（以下简称“本公司”）相关业务规则，制定本办法。</w:t>
      </w:r>
      <w:r>
        <w:rPr>
          <w:rFonts w:ascii="仿宋_GB2312" w:hAnsi="宋体" w:eastAsia="仿宋_GB2312"/>
          <w:sz w:val="32"/>
        </w:rPr>
        <w:t xml:space="preserve"> </w:t>
      </w:r>
    </w:p>
    <w:p>
      <w:pPr>
        <w:ind w:firstLine="641" w:firstLineChars="200"/>
        <w:rPr>
          <w:rFonts w:ascii="仿宋_GB2312" w:hAnsi="宋体" w:eastAsia="仿宋_GB2312"/>
          <w:sz w:val="32"/>
        </w:rPr>
      </w:pPr>
      <w:r>
        <w:rPr>
          <w:rFonts w:hint="eastAsia" w:ascii="仿宋_GB2312" w:hAnsi="宋体" w:eastAsia="仿宋_GB2312"/>
          <w:b/>
          <w:sz w:val="32"/>
        </w:rPr>
        <w:t>第二条</w:t>
      </w:r>
      <w:r>
        <w:rPr>
          <w:rFonts w:ascii="仿宋_GB2312" w:hAnsi="宋体" w:eastAsia="仿宋_GB2312"/>
          <w:sz w:val="32"/>
        </w:rPr>
        <w:tab/>
      </w:r>
      <w:r>
        <w:rPr>
          <w:rFonts w:ascii="仿宋_GB2312" w:hAnsi="宋体" w:eastAsia="仿宋_GB2312"/>
          <w:sz w:val="32"/>
        </w:rPr>
        <w:t xml:space="preserve"> </w:t>
      </w:r>
      <w:r>
        <w:rPr>
          <w:rFonts w:hint="eastAsia" w:ascii="仿宋_GB2312" w:hAnsi="宋体" w:eastAsia="仿宋_GB2312"/>
          <w:sz w:val="32"/>
        </w:rPr>
        <w:t>本办法适用于在证券交易所上市的、经本公司和相关证券交易所认可可用以进行回购交易的债券类产品和基金类产品。</w:t>
      </w:r>
    </w:p>
    <w:p>
      <w:pPr>
        <w:ind w:firstLine="641" w:firstLineChars="200"/>
        <w:rPr>
          <w:rFonts w:ascii="仿宋_GB2312" w:hAnsi="宋体" w:eastAsia="仿宋_GB2312"/>
          <w:sz w:val="32"/>
        </w:rPr>
      </w:pPr>
      <w:r>
        <w:rPr>
          <w:rFonts w:hint="eastAsia" w:ascii="仿宋_GB2312" w:hAnsi="宋体" w:eastAsia="仿宋_GB2312"/>
          <w:b/>
          <w:sz w:val="32"/>
        </w:rPr>
        <w:t>第三条</w:t>
      </w:r>
      <w:r>
        <w:rPr>
          <w:rFonts w:ascii="仿宋_GB2312" w:hAnsi="宋体" w:eastAsia="仿宋_GB2312"/>
          <w:sz w:val="32"/>
        </w:rPr>
        <w:tab/>
      </w:r>
      <w:r>
        <w:rPr>
          <w:rFonts w:ascii="仿宋_GB2312" w:hAnsi="宋体" w:eastAsia="仿宋_GB2312"/>
          <w:sz w:val="32"/>
        </w:rPr>
        <w:t xml:space="preserve"> </w:t>
      </w:r>
      <w:r>
        <w:rPr>
          <w:rFonts w:hint="eastAsia" w:ascii="仿宋_GB2312" w:hAnsi="宋体" w:eastAsia="仿宋_GB2312"/>
          <w:sz w:val="32"/>
        </w:rPr>
        <w:t>本办法所称“质押式回购”指在证券交易所挂牌、实行标准券制度并采用多边净额结算的回购交易。</w:t>
      </w:r>
    </w:p>
    <w:p>
      <w:pPr>
        <w:ind w:firstLine="640" w:firstLineChars="200"/>
        <w:rPr>
          <w:rFonts w:ascii="仿宋_GB2312" w:hAnsi="宋体" w:eastAsia="仿宋_GB2312"/>
          <w:sz w:val="32"/>
        </w:rPr>
      </w:pPr>
      <w:r>
        <w:rPr>
          <w:rFonts w:hint="eastAsia" w:ascii="仿宋_GB2312" w:hAnsi="宋体" w:eastAsia="仿宋_GB2312"/>
          <w:sz w:val="32"/>
        </w:rPr>
        <w:t>如未特别指明，本办法所称“证券交易所”指上海证券交易所和深圳证券交易所。</w:t>
      </w:r>
      <w:r>
        <w:rPr>
          <w:rFonts w:ascii="仿宋_GB2312" w:hAnsi="宋体" w:eastAsia="仿宋_GB2312"/>
          <w:sz w:val="32"/>
        </w:rPr>
        <w:t xml:space="preserve"> </w:t>
      </w:r>
    </w:p>
    <w:p>
      <w:pPr>
        <w:ind w:firstLine="641" w:firstLineChars="200"/>
        <w:rPr>
          <w:rFonts w:ascii="仿宋_GB2312" w:hAnsi="宋体" w:eastAsia="仿宋_GB2312"/>
          <w:sz w:val="32"/>
        </w:rPr>
      </w:pPr>
      <w:r>
        <w:rPr>
          <w:rFonts w:hint="eastAsia" w:ascii="仿宋_GB2312" w:hAnsi="宋体" w:eastAsia="仿宋_GB2312"/>
          <w:b/>
          <w:sz w:val="32"/>
        </w:rPr>
        <w:t>第四条</w:t>
      </w:r>
      <w:r>
        <w:rPr>
          <w:rFonts w:ascii="仿宋_GB2312" w:hAnsi="宋体" w:eastAsia="仿宋_GB2312"/>
          <w:sz w:val="32"/>
        </w:rPr>
        <w:tab/>
      </w:r>
      <w:r>
        <w:rPr>
          <w:rFonts w:ascii="仿宋_GB2312" w:hAnsi="宋体" w:eastAsia="仿宋_GB2312"/>
          <w:sz w:val="32"/>
        </w:rPr>
        <w:t xml:space="preserve"> </w:t>
      </w:r>
      <w:r>
        <w:rPr>
          <w:rFonts w:hint="eastAsia" w:ascii="仿宋_GB2312" w:hAnsi="宋体" w:eastAsia="仿宋_GB2312"/>
          <w:sz w:val="32"/>
        </w:rPr>
        <w:t>每个交易日（以下简称“</w:t>
      </w:r>
      <w:r>
        <w:rPr>
          <w:rFonts w:ascii="仿宋_GB2312" w:hAnsi="宋体" w:eastAsia="仿宋_GB2312"/>
          <w:sz w:val="32"/>
        </w:rPr>
        <w:t>T</w:t>
      </w:r>
      <w:r>
        <w:rPr>
          <w:rFonts w:hint="eastAsia" w:ascii="仿宋_GB2312" w:hAnsi="宋体" w:eastAsia="仿宋_GB2312"/>
          <w:sz w:val="32"/>
        </w:rPr>
        <w:t>日”）收市后，本公司按照标准券折算率（值）计算公式（见附件）计算回购质押品标准券折算率（值）。当日（</w:t>
      </w:r>
      <w:r>
        <w:rPr>
          <w:rFonts w:ascii="仿宋_GB2312" w:hAnsi="宋体" w:eastAsia="仿宋_GB2312"/>
          <w:sz w:val="32"/>
        </w:rPr>
        <w:t>T</w:t>
      </w:r>
      <w:r>
        <w:rPr>
          <w:rFonts w:hint="eastAsia" w:ascii="仿宋_GB2312" w:hAnsi="宋体" w:eastAsia="仿宋_GB2312"/>
          <w:sz w:val="32"/>
        </w:rPr>
        <w:t>日）计算出的标准券折算率（值）在当日以后第二个交易日（</w:t>
      </w:r>
      <w:r>
        <w:rPr>
          <w:rFonts w:ascii="仿宋_GB2312" w:hAnsi="宋体" w:eastAsia="仿宋_GB2312"/>
          <w:sz w:val="32"/>
        </w:rPr>
        <w:t>T+2</w:t>
      </w:r>
      <w:r>
        <w:rPr>
          <w:rFonts w:hint="eastAsia" w:ascii="仿宋_GB2312" w:hAnsi="宋体" w:eastAsia="仿宋_GB2312"/>
          <w:sz w:val="32"/>
        </w:rPr>
        <w:t>日）适用。</w:t>
      </w:r>
    </w:p>
    <w:p>
      <w:pPr>
        <w:ind w:firstLine="640" w:firstLineChars="200"/>
        <w:rPr>
          <w:rFonts w:ascii="仿宋_GB2312" w:hAnsi="宋体" w:eastAsia="仿宋_GB2312"/>
          <w:sz w:val="32"/>
        </w:rPr>
      </w:pPr>
      <w:r>
        <w:rPr>
          <w:rFonts w:hint="eastAsia" w:ascii="仿宋_GB2312" w:hAnsi="宋体" w:eastAsia="仿宋_GB2312"/>
          <w:sz w:val="32"/>
        </w:rPr>
        <w:t>对于新上市产品，本公司最迟在该产品上市前一个交易日，按照标准券折算率（值）计算公式计算其标准券折算率（值）。计算出的标准券折算率（值）在该产品上市日及次一交易日适用。</w:t>
      </w:r>
    </w:p>
    <w:p>
      <w:pPr>
        <w:ind w:firstLine="640" w:firstLineChars="200"/>
        <w:rPr>
          <w:rFonts w:ascii="仿宋_GB2312" w:hAnsi="宋体" w:eastAsia="仿宋_GB2312"/>
          <w:sz w:val="32"/>
        </w:rPr>
      </w:pPr>
      <w:r>
        <w:rPr>
          <w:rFonts w:hint="eastAsia" w:ascii="仿宋_GB2312" w:hAnsi="宋体" w:eastAsia="仿宋_GB2312"/>
          <w:sz w:val="32"/>
        </w:rPr>
        <w:t>对于已上市新取得回购质押品资格产品，本公司最迟在该产品回购起始日前一个交易日，按照标准券折算率（值）计算公式计算其标准券折算率（值）。计算出的标准券折算率（值）在该产品回购起始日及次一交易日适用。</w:t>
      </w:r>
    </w:p>
    <w:p>
      <w:pPr>
        <w:ind w:firstLine="641" w:firstLineChars="200"/>
        <w:rPr>
          <w:rFonts w:ascii="仿宋_GB2312" w:hAnsi="宋体" w:eastAsia="仿宋_GB2312"/>
          <w:sz w:val="32"/>
        </w:rPr>
      </w:pPr>
      <w:r>
        <w:rPr>
          <w:rFonts w:hint="eastAsia" w:ascii="仿宋_GB2312" w:hAnsi="宋体" w:eastAsia="仿宋_GB2312"/>
          <w:b/>
          <w:sz w:val="32"/>
        </w:rPr>
        <w:t>第五条</w:t>
      </w:r>
      <w:r>
        <w:rPr>
          <w:rFonts w:ascii="仿宋_GB2312" w:hAnsi="宋体" w:eastAsia="仿宋_GB2312"/>
          <w:sz w:val="32"/>
        </w:rPr>
        <w:tab/>
      </w:r>
      <w:r>
        <w:rPr>
          <w:rFonts w:ascii="仿宋_GB2312" w:hAnsi="宋体" w:eastAsia="仿宋_GB2312"/>
          <w:sz w:val="32"/>
        </w:rPr>
        <w:t xml:space="preserve"> </w:t>
      </w:r>
      <w:r>
        <w:rPr>
          <w:rFonts w:hint="eastAsia" w:ascii="仿宋_GB2312" w:hAnsi="宋体" w:eastAsia="仿宋_GB2312"/>
          <w:sz w:val="32"/>
        </w:rPr>
        <w:t>各类质押品标准券折算率（值）计算公式中的折扣系数取值标准，由本公司《质押式回购资格准入标准及标准券折扣系数取值业务指引》具体规定。</w:t>
      </w:r>
    </w:p>
    <w:p>
      <w:pPr>
        <w:ind w:firstLine="641" w:firstLineChars="200"/>
        <w:rPr>
          <w:rFonts w:ascii="仿宋_GB2312" w:hAnsi="宋体" w:eastAsia="仿宋_GB2312"/>
          <w:sz w:val="32"/>
        </w:rPr>
      </w:pPr>
      <w:r>
        <w:rPr>
          <w:rFonts w:hint="eastAsia" w:ascii="仿宋_GB2312" w:hAnsi="宋体" w:eastAsia="仿宋_GB2312"/>
          <w:b/>
          <w:sz w:val="32"/>
        </w:rPr>
        <w:t>第六条</w:t>
      </w:r>
      <w:r>
        <w:rPr>
          <w:rFonts w:ascii="仿宋_GB2312" w:hAnsi="宋体" w:eastAsia="仿宋_GB2312"/>
          <w:sz w:val="32"/>
        </w:rPr>
        <w:tab/>
      </w:r>
      <w:r>
        <w:rPr>
          <w:rFonts w:ascii="仿宋_GB2312" w:hAnsi="宋体" w:eastAsia="仿宋_GB2312"/>
          <w:sz w:val="32"/>
        </w:rPr>
        <w:t xml:space="preserve"> </w:t>
      </w:r>
      <w:r>
        <w:rPr>
          <w:rFonts w:hint="eastAsia" w:ascii="仿宋_GB2312" w:hAnsi="宋体" w:eastAsia="仿宋_GB2312"/>
          <w:sz w:val="32"/>
        </w:rPr>
        <w:t>本公司可以根据以下情况对标准券折算率（值）计算结果进行修正：</w:t>
      </w:r>
    </w:p>
    <w:p>
      <w:pPr>
        <w:ind w:firstLine="640" w:firstLineChars="200"/>
        <w:rPr>
          <w:rFonts w:ascii="仿宋_GB2312" w:hAnsi="宋体" w:eastAsia="仿宋_GB2312"/>
          <w:sz w:val="32"/>
        </w:rPr>
      </w:pPr>
      <w:r>
        <w:rPr>
          <w:rFonts w:hint="eastAsia" w:ascii="仿宋_GB2312" w:hAnsi="宋体" w:eastAsia="仿宋_GB2312"/>
          <w:sz w:val="32"/>
        </w:rPr>
        <w:t>（一）市场隐含评级、本公司内部信用评估结果或第三方评级等显示相关债券实际信用风险水平超出发行人指定信用评估机构评定评级；</w:t>
      </w:r>
    </w:p>
    <w:p>
      <w:pPr>
        <w:ind w:firstLine="640" w:firstLineChars="200"/>
        <w:rPr>
          <w:rFonts w:ascii="仿宋_GB2312" w:hAnsi="宋体" w:eastAsia="仿宋_GB2312"/>
          <w:sz w:val="32"/>
        </w:rPr>
      </w:pPr>
      <w:r>
        <w:rPr>
          <w:rFonts w:hint="eastAsia" w:ascii="仿宋_GB2312" w:hAnsi="宋体" w:eastAsia="仿宋_GB2312"/>
          <w:sz w:val="32"/>
        </w:rPr>
        <w:t>（二）相关债券发行人的经营状况或财务状况发生重大困难；</w:t>
      </w:r>
    </w:p>
    <w:p>
      <w:pPr>
        <w:ind w:firstLine="640" w:firstLineChars="200"/>
        <w:rPr>
          <w:rFonts w:ascii="仿宋_GB2312" w:hAnsi="宋体" w:eastAsia="仿宋_GB2312"/>
          <w:sz w:val="32"/>
        </w:rPr>
      </w:pPr>
      <w:r>
        <w:rPr>
          <w:rFonts w:hint="eastAsia" w:ascii="仿宋_GB2312" w:hAnsi="宋体" w:eastAsia="仿宋_GB2312"/>
          <w:sz w:val="32"/>
        </w:rPr>
        <w:t>（三）相关质押品流动性较差，连续多日停牌或者没有发生交易；</w:t>
      </w:r>
      <w:r>
        <w:rPr>
          <w:rFonts w:ascii="仿宋_GB2312" w:hAnsi="宋体" w:eastAsia="仿宋_GB2312"/>
          <w:sz w:val="32"/>
        </w:rPr>
        <w:t xml:space="preserve"> </w:t>
      </w:r>
    </w:p>
    <w:p>
      <w:pPr>
        <w:ind w:firstLine="640" w:firstLineChars="200"/>
        <w:rPr>
          <w:rFonts w:ascii="仿宋_GB2312" w:hAnsi="宋体" w:eastAsia="仿宋_GB2312"/>
          <w:sz w:val="32"/>
        </w:rPr>
      </w:pPr>
      <w:r>
        <w:rPr>
          <w:rFonts w:hint="eastAsia" w:ascii="仿宋_GB2312" w:hAnsi="宋体" w:eastAsia="仿宋_GB2312"/>
          <w:sz w:val="32"/>
        </w:rPr>
        <w:t>（四）相关质押品入库数量与其全部托管量的比例明显超过市场正常水平，或是单一证券账户或者某些关联证券账户过度集中持有单只产品；</w:t>
      </w:r>
    </w:p>
    <w:p>
      <w:pPr>
        <w:ind w:firstLine="640" w:firstLineChars="200"/>
        <w:rPr>
          <w:rFonts w:ascii="仿宋_GB2312" w:hAnsi="宋体" w:eastAsia="仿宋_GB2312"/>
          <w:sz w:val="32"/>
        </w:rPr>
      </w:pPr>
      <w:r>
        <w:rPr>
          <w:rFonts w:hint="eastAsia" w:ascii="仿宋_GB2312" w:hAnsi="宋体" w:eastAsia="仿宋_GB2312"/>
          <w:sz w:val="32"/>
        </w:rPr>
        <w:t>（五）相关质押品较短时期内发生剧烈价格波动，或是一段时期内波动幅度显著高于同类产品正常水平等；</w:t>
      </w:r>
    </w:p>
    <w:p>
      <w:pPr>
        <w:ind w:firstLine="640" w:firstLineChars="200"/>
        <w:rPr>
          <w:rFonts w:ascii="仿宋_GB2312" w:hAnsi="宋体" w:eastAsia="仿宋_GB2312"/>
          <w:sz w:val="32"/>
        </w:rPr>
      </w:pPr>
      <w:r>
        <w:rPr>
          <w:rFonts w:hint="eastAsia" w:ascii="仿宋_GB2312" w:hAnsi="宋体" w:eastAsia="仿宋_GB2312"/>
          <w:sz w:val="32"/>
        </w:rPr>
        <w:t>（六）出于宏观审慎风险管理的考虑，需要对相关质押品标准券折算率（值）进行逆周期调节的情形；</w:t>
      </w:r>
    </w:p>
    <w:p>
      <w:pPr>
        <w:ind w:firstLine="640" w:firstLineChars="200"/>
        <w:rPr>
          <w:rFonts w:ascii="仿宋_GB2312" w:hAnsi="宋体" w:eastAsia="仿宋_GB2312"/>
          <w:sz w:val="32"/>
        </w:rPr>
      </w:pPr>
      <w:r>
        <w:rPr>
          <w:rFonts w:hint="eastAsia" w:ascii="仿宋_GB2312" w:hAnsi="宋体" w:eastAsia="仿宋_GB2312"/>
          <w:sz w:val="32"/>
        </w:rPr>
        <w:t>（七）信用债券信息披露义务人未按规定及时、公平地履行信息披露义务，或者所披露的信息存在虚假记载、误导性陈述或者重大遗漏等情形；</w:t>
      </w:r>
    </w:p>
    <w:p>
      <w:pPr>
        <w:ind w:firstLine="640" w:firstLineChars="200"/>
        <w:rPr>
          <w:rFonts w:ascii="仿宋_GB2312" w:hAnsi="宋体" w:eastAsia="仿宋_GB2312"/>
          <w:sz w:val="32"/>
        </w:rPr>
      </w:pPr>
      <w:r>
        <w:rPr>
          <w:rFonts w:hint="eastAsia" w:ascii="仿宋_GB2312" w:hAnsi="宋体" w:eastAsia="仿宋_GB2312"/>
          <w:sz w:val="32"/>
        </w:rPr>
        <w:t>（八）基金类产品及其管理人发生较大风险；</w:t>
      </w:r>
    </w:p>
    <w:p>
      <w:pPr>
        <w:ind w:firstLine="640" w:firstLineChars="200"/>
        <w:rPr>
          <w:rFonts w:ascii="仿宋_GB2312" w:hAnsi="宋体" w:eastAsia="仿宋_GB2312"/>
          <w:sz w:val="32"/>
        </w:rPr>
      </w:pPr>
      <w:r>
        <w:rPr>
          <w:rFonts w:hint="eastAsia" w:ascii="仿宋_GB2312" w:hAnsi="宋体" w:eastAsia="仿宋_GB2312"/>
          <w:sz w:val="32"/>
        </w:rPr>
        <w:t>（九）本公司认为应修正标准券折算率（值）计算结果的其他情形。</w:t>
      </w:r>
      <w:r>
        <w:rPr>
          <w:rFonts w:ascii="仿宋_GB2312" w:hAnsi="宋体" w:eastAsia="仿宋_GB2312"/>
          <w:sz w:val="32"/>
        </w:rPr>
        <w:t xml:space="preserve"> </w:t>
      </w:r>
    </w:p>
    <w:p>
      <w:pPr>
        <w:ind w:firstLine="641" w:firstLineChars="200"/>
        <w:rPr>
          <w:rFonts w:ascii="仿宋_GB2312" w:hAnsi="宋体" w:eastAsia="仿宋_GB2312"/>
          <w:sz w:val="32"/>
        </w:rPr>
      </w:pPr>
      <w:r>
        <w:rPr>
          <w:rFonts w:hint="eastAsia" w:ascii="仿宋_GB2312" w:hAnsi="宋体" w:eastAsia="仿宋_GB2312"/>
          <w:b/>
          <w:sz w:val="32"/>
        </w:rPr>
        <w:t>第七条</w:t>
      </w:r>
      <w:r>
        <w:rPr>
          <w:rFonts w:ascii="仿宋_GB2312" w:hAnsi="宋体" w:eastAsia="仿宋_GB2312"/>
          <w:sz w:val="32"/>
        </w:rPr>
        <w:tab/>
      </w:r>
      <w:r>
        <w:rPr>
          <w:rFonts w:ascii="仿宋_GB2312" w:hAnsi="宋体" w:eastAsia="仿宋_GB2312"/>
          <w:sz w:val="32"/>
        </w:rPr>
        <w:t xml:space="preserve"> </w:t>
      </w:r>
      <w:r>
        <w:rPr>
          <w:rFonts w:hint="eastAsia" w:ascii="仿宋_GB2312" w:hAnsi="宋体" w:eastAsia="仿宋_GB2312"/>
          <w:sz w:val="32"/>
        </w:rPr>
        <w:t>标准券折算率（值）由本公司和证券交易所在计算当日日终分别通过各自通信系统、网站予以发布。</w:t>
      </w:r>
    </w:p>
    <w:p>
      <w:pPr>
        <w:ind w:firstLine="641" w:firstLineChars="200"/>
        <w:rPr>
          <w:rFonts w:ascii="仿宋_GB2312" w:hAnsi="宋体" w:eastAsia="仿宋_GB2312"/>
          <w:sz w:val="32"/>
        </w:rPr>
      </w:pPr>
      <w:r>
        <w:rPr>
          <w:rFonts w:hint="eastAsia" w:ascii="仿宋_GB2312" w:hAnsi="宋体" w:eastAsia="仿宋_GB2312"/>
          <w:b/>
          <w:sz w:val="32"/>
        </w:rPr>
        <w:t>第八条</w:t>
      </w:r>
      <w:r>
        <w:rPr>
          <w:rFonts w:ascii="仿宋_GB2312" w:hAnsi="宋体" w:eastAsia="仿宋_GB2312"/>
          <w:sz w:val="32"/>
        </w:rPr>
        <w:tab/>
      </w:r>
      <w:r>
        <w:rPr>
          <w:rFonts w:ascii="仿宋_GB2312" w:hAnsi="宋体" w:eastAsia="仿宋_GB2312"/>
          <w:sz w:val="32"/>
        </w:rPr>
        <w:t xml:space="preserve"> </w:t>
      </w:r>
      <w:r>
        <w:rPr>
          <w:rFonts w:hint="eastAsia" w:ascii="仿宋_GB2312" w:hAnsi="宋体" w:eastAsia="仿宋_GB2312"/>
          <w:sz w:val="32"/>
        </w:rPr>
        <w:t>本公司可以商证券交易所对本办法进行修订，并向中国证券监督管理委员会报告。</w:t>
      </w:r>
    </w:p>
    <w:p>
      <w:pPr>
        <w:ind w:firstLine="641" w:firstLineChars="200"/>
        <w:rPr>
          <w:rFonts w:ascii="仿宋_GB2312" w:hAnsi="宋体" w:eastAsia="仿宋_GB2312"/>
          <w:sz w:val="32"/>
        </w:rPr>
      </w:pPr>
      <w:r>
        <w:rPr>
          <w:rFonts w:hint="eastAsia" w:ascii="仿宋_GB2312" w:hAnsi="宋体" w:eastAsia="仿宋_GB2312"/>
          <w:b/>
          <w:sz w:val="32"/>
        </w:rPr>
        <w:t>第九条</w:t>
      </w:r>
      <w:r>
        <w:rPr>
          <w:rFonts w:ascii="仿宋_GB2312" w:hAnsi="宋体" w:eastAsia="仿宋_GB2312"/>
          <w:sz w:val="32"/>
        </w:rPr>
        <w:tab/>
      </w:r>
      <w:r>
        <w:rPr>
          <w:rFonts w:ascii="仿宋_GB2312" w:hAnsi="宋体" w:eastAsia="仿宋_GB2312"/>
          <w:sz w:val="32"/>
        </w:rPr>
        <w:t xml:space="preserve"> </w:t>
      </w:r>
      <w:r>
        <w:rPr>
          <w:rFonts w:hint="eastAsia" w:ascii="仿宋_GB2312" w:hAnsi="宋体" w:eastAsia="仿宋_GB2312"/>
          <w:sz w:val="32"/>
        </w:rPr>
        <w:t>本办法自</w:t>
      </w:r>
      <w:r>
        <w:rPr>
          <w:rFonts w:ascii="仿宋_GB2312" w:hAnsi="宋体" w:eastAsia="仿宋_GB2312"/>
          <w:sz w:val="32"/>
        </w:rPr>
        <w:t>2020</w:t>
      </w:r>
      <w:r>
        <w:rPr>
          <w:rFonts w:hint="eastAsia" w:ascii="仿宋_GB2312" w:hAnsi="宋体" w:eastAsia="仿宋_GB2312"/>
          <w:sz w:val="32"/>
        </w:rPr>
        <w:t>年</w:t>
      </w:r>
      <w:r>
        <w:rPr>
          <w:rFonts w:ascii="仿宋_GB2312" w:hAnsi="宋体" w:eastAsia="仿宋_GB2312"/>
          <w:sz w:val="32"/>
        </w:rPr>
        <w:t>3</w:t>
      </w:r>
      <w:r>
        <w:rPr>
          <w:rFonts w:hint="eastAsia" w:ascii="仿宋_GB2312" w:hAnsi="宋体" w:eastAsia="仿宋_GB2312"/>
          <w:sz w:val="32"/>
        </w:rPr>
        <w:t>月</w:t>
      </w:r>
      <w:r>
        <w:rPr>
          <w:rFonts w:ascii="仿宋_GB2312" w:hAnsi="宋体" w:eastAsia="仿宋_GB2312"/>
          <w:sz w:val="32"/>
        </w:rPr>
        <w:t>23</w:t>
      </w:r>
      <w:r>
        <w:rPr>
          <w:rFonts w:hint="eastAsia" w:ascii="仿宋_GB2312" w:hAnsi="宋体" w:eastAsia="仿宋_GB2312"/>
          <w:sz w:val="32"/>
        </w:rPr>
        <w:t>日起实施。</w:t>
      </w:r>
    </w:p>
    <w:p>
      <w:pPr>
        <w:rPr>
          <w:rFonts w:ascii="仿宋_GB2312" w:hAnsi="宋体" w:eastAsia="仿宋_GB2312"/>
          <w:sz w:val="32"/>
        </w:rPr>
      </w:pPr>
      <w:r>
        <w:rPr>
          <w:rFonts w:ascii="仿宋_GB2312" w:hAnsi="宋体" w:eastAsia="仿宋_GB2312"/>
          <w:sz w:val="32"/>
        </w:rPr>
        <w:t xml:space="preserve"> </w:t>
      </w:r>
    </w:p>
    <w:p>
      <w:pPr>
        <w:widowControl/>
        <w:jc w:val="left"/>
        <w:rPr>
          <w:rFonts w:ascii="仿宋_GB2312" w:hAnsi="宋体" w:eastAsia="仿宋_GB2312"/>
          <w:sz w:val="32"/>
        </w:rPr>
      </w:pPr>
      <w:r>
        <w:rPr>
          <w:rFonts w:ascii="仿宋_GB2312" w:hAnsi="宋体" w:eastAsia="仿宋_GB2312"/>
          <w:sz w:val="32"/>
        </w:rPr>
        <w:br w:type="page"/>
      </w:r>
      <w:r>
        <w:rPr>
          <w:rFonts w:hint="eastAsia" w:ascii="仿宋_GB2312" w:hAnsi="宋体" w:eastAsia="仿宋_GB2312"/>
          <w:sz w:val="32"/>
        </w:rPr>
        <w:t>附件：</w:t>
      </w:r>
      <w:r>
        <w:rPr>
          <w:rFonts w:ascii="仿宋_GB2312" w:hAnsi="宋体" w:eastAsia="仿宋_GB2312"/>
          <w:sz w:val="32"/>
        </w:rPr>
        <w:t xml:space="preserve"> </w:t>
      </w:r>
    </w:p>
    <w:p>
      <w:pPr>
        <w:jc w:val="center"/>
        <w:rPr>
          <w:rFonts w:ascii="仿宋_GB2312" w:hAnsi="宋体" w:eastAsia="仿宋_GB2312"/>
          <w:sz w:val="32"/>
        </w:rPr>
      </w:pPr>
      <w:r>
        <w:rPr>
          <w:rFonts w:hint="eastAsia" w:ascii="仿宋_GB2312" w:hAnsi="宋体" w:eastAsia="仿宋_GB2312"/>
          <w:sz w:val="32"/>
        </w:rPr>
        <w:t>标准券折算率（值）计算公式</w:t>
      </w:r>
    </w:p>
    <w:p>
      <w:pPr>
        <w:ind w:firstLine="640" w:firstLineChars="200"/>
        <w:outlineLvl w:val="0"/>
        <w:rPr>
          <w:rFonts w:ascii="仿宋_GB2312" w:hAnsi="宋体" w:eastAsia="仿宋_GB2312"/>
          <w:sz w:val="32"/>
        </w:rPr>
      </w:pPr>
      <w:r>
        <w:rPr>
          <w:rFonts w:hint="eastAsia" w:ascii="仿宋_GB2312" w:hAnsi="宋体" w:eastAsia="仿宋_GB2312"/>
          <w:sz w:val="32"/>
        </w:rPr>
        <w:t>（一）上海证券交易所市场</w:t>
      </w:r>
    </w:p>
    <w:p>
      <w:pPr>
        <w:ind w:firstLine="640" w:firstLineChars="200"/>
        <w:rPr>
          <w:rFonts w:ascii="仿宋_GB2312" w:hAnsi="宋体" w:eastAsia="仿宋_GB2312"/>
          <w:sz w:val="32"/>
        </w:rPr>
      </w:pPr>
      <w:r>
        <w:rPr>
          <w:rFonts w:hint="eastAsia" w:ascii="仿宋_GB2312" w:hAnsi="宋体" w:eastAsia="仿宋_GB2312"/>
          <w:sz w:val="32"/>
        </w:rPr>
        <w:t>债券类产品的标准券折算率＝全价估值×折扣系数÷面值。</w:t>
      </w:r>
    </w:p>
    <w:p>
      <w:pPr>
        <w:ind w:firstLine="640" w:firstLineChars="200"/>
        <w:rPr>
          <w:rFonts w:ascii="仿宋_GB2312" w:hAnsi="宋体" w:eastAsia="仿宋_GB2312"/>
          <w:sz w:val="32"/>
        </w:rPr>
      </w:pPr>
      <w:r>
        <w:rPr>
          <w:rFonts w:hint="eastAsia" w:ascii="仿宋_GB2312" w:hAnsi="宋体" w:eastAsia="仿宋_GB2312"/>
          <w:sz w:val="32"/>
        </w:rPr>
        <w:t>基金类产品的标准券折算值＝份额估值×折扣系数。</w:t>
      </w:r>
    </w:p>
    <w:p>
      <w:pPr>
        <w:ind w:firstLine="640" w:firstLineChars="200"/>
        <w:outlineLvl w:val="0"/>
        <w:rPr>
          <w:rFonts w:ascii="仿宋_GB2312" w:hAnsi="宋体" w:eastAsia="仿宋_GB2312"/>
          <w:sz w:val="32"/>
        </w:rPr>
      </w:pPr>
      <w:r>
        <w:rPr>
          <w:rFonts w:hint="eastAsia" w:ascii="仿宋_GB2312" w:hAnsi="宋体" w:eastAsia="仿宋_GB2312"/>
          <w:sz w:val="32"/>
        </w:rPr>
        <w:t>（二）深圳证券交易所市场</w:t>
      </w:r>
    </w:p>
    <w:p>
      <w:pPr>
        <w:ind w:firstLine="640" w:firstLineChars="200"/>
        <w:rPr>
          <w:rFonts w:ascii="仿宋_GB2312" w:hAnsi="宋体" w:eastAsia="仿宋_GB2312"/>
          <w:sz w:val="32"/>
        </w:rPr>
      </w:pPr>
      <w:r>
        <w:rPr>
          <w:rFonts w:hint="eastAsia" w:ascii="仿宋_GB2312" w:hAnsi="宋体" w:eastAsia="仿宋_GB2312"/>
          <w:sz w:val="32"/>
        </w:rPr>
        <w:t>债券类产品的标准券折算率＝全价估值×折扣系数÷面值。</w:t>
      </w:r>
    </w:p>
    <w:p>
      <w:pPr>
        <w:ind w:firstLine="640" w:firstLineChars="200"/>
        <w:rPr>
          <w:rFonts w:ascii="仿宋_GB2312" w:hAnsi="宋体" w:eastAsia="仿宋_GB2312"/>
          <w:sz w:val="32"/>
        </w:rPr>
      </w:pPr>
      <w:r>
        <w:rPr>
          <w:rFonts w:hint="eastAsia" w:ascii="仿宋_GB2312" w:hAnsi="宋体" w:eastAsia="仿宋_GB2312"/>
          <w:sz w:val="32"/>
        </w:rPr>
        <w:t>基金类产品的标准券折算率＝份额估值×折扣系数÷</w:t>
      </w:r>
      <w:r>
        <w:rPr>
          <w:rFonts w:ascii="仿宋_GB2312" w:hAnsi="宋体" w:eastAsia="仿宋_GB2312"/>
          <w:sz w:val="32"/>
        </w:rPr>
        <w:t>100</w:t>
      </w:r>
      <w:r>
        <w:rPr>
          <w:rFonts w:hint="eastAsia" w:ascii="仿宋_GB2312" w:hAnsi="宋体" w:eastAsia="仿宋_GB2312"/>
          <w:sz w:val="32"/>
        </w:rPr>
        <w:t>元。</w:t>
      </w:r>
    </w:p>
    <w:p>
      <w:pPr>
        <w:ind w:firstLine="640" w:firstLineChars="200"/>
        <w:rPr>
          <w:rFonts w:ascii="仿宋_GB2312" w:hAnsi="宋体" w:eastAsia="仿宋_GB2312"/>
          <w:sz w:val="32"/>
        </w:rPr>
      </w:pPr>
    </w:p>
    <w:p>
      <w:pPr>
        <w:ind w:firstLine="640" w:firstLineChars="200"/>
        <w:rPr>
          <w:rFonts w:ascii="仿宋_GB2312" w:hAnsi="宋体" w:eastAsia="仿宋_GB2312"/>
          <w:sz w:val="32"/>
        </w:rPr>
      </w:pPr>
      <w:r>
        <w:rPr>
          <w:rFonts w:hint="eastAsia" w:ascii="仿宋_GB2312" w:hAnsi="宋体" w:eastAsia="仿宋_GB2312"/>
          <w:sz w:val="32"/>
        </w:rPr>
        <w:t>其中</w:t>
      </w:r>
      <w:r>
        <w:rPr>
          <w:rFonts w:ascii="仿宋_GB2312" w:hAnsi="宋体" w:eastAsia="仿宋_GB2312"/>
          <w:sz w:val="32"/>
        </w:rPr>
        <w:t xml:space="preserve">: </w:t>
      </w:r>
    </w:p>
    <w:p>
      <w:pPr>
        <w:ind w:firstLine="640" w:firstLineChars="200"/>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对于已上市债券，其全价估值由本公司参考市场价格、外部第三方估值以及本公司内部价值评估情况综合确定；在此基础上，出于风险管理目的，如有必要，本公司可基于对债券信用风险、流动性风险、集中度风险、波动性风险、周期性风险等因素的综合考虑进一步对估值结果进行风险补偿扣减。</w:t>
      </w:r>
    </w:p>
    <w:p>
      <w:pPr>
        <w:ind w:firstLine="640" w:firstLineChars="200"/>
        <w:rPr>
          <w:rFonts w:ascii="仿宋_GB2312" w:hAnsi="宋体" w:eastAsia="仿宋_GB2312"/>
          <w:sz w:val="32"/>
        </w:rPr>
      </w:pPr>
      <w:r>
        <w:rPr>
          <w:rFonts w:hint="eastAsia" w:ascii="仿宋_GB2312" w:hAnsi="宋体" w:eastAsia="仿宋_GB2312"/>
          <w:sz w:val="32"/>
        </w:rPr>
        <w:t>对于新上市债券，其全价估值由本公司参考发行价格，或是票面利率及交易所市场上期限、信用评级与其他各项风险因素类似债券到期收益率计算确定。</w:t>
      </w:r>
    </w:p>
    <w:p>
      <w:pPr>
        <w:ind w:firstLine="640" w:firstLineChars="200"/>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、对于已上市基金类产品，其份额估值由本公司参考上个交易日收盘价、上个交易日加权平均成交价（以成交量为权重）、份额净值或参考值以及流动性情况、集中度情况与价格波动幅度等因素计算确定。</w:t>
      </w:r>
    </w:p>
    <w:p>
      <w:pPr>
        <w:ind w:firstLine="640" w:firstLineChars="200"/>
        <w:rPr>
          <w:rFonts w:ascii="仿宋_GB2312" w:hAnsi="宋体" w:eastAsia="仿宋_GB2312"/>
          <w:sz w:val="32"/>
        </w:rPr>
      </w:pPr>
      <w:r>
        <w:rPr>
          <w:rFonts w:hint="eastAsia" w:ascii="仿宋_GB2312" w:hAnsi="宋体" w:eastAsia="仿宋_GB2312"/>
          <w:sz w:val="32"/>
        </w:rPr>
        <w:t>对于新上市基金类产品，其份额估值由本公司参照基金管理人按照基金上市法律文件中规定方式计算并向证券交易所提供的基金份额净值或参考值确定。</w:t>
      </w:r>
    </w:p>
    <w:p>
      <w:pPr>
        <w:ind w:right="1287"/>
        <w:rPr>
          <w:rFonts w:ascii="仿宋_GB2312" w:eastAsia="仿宋_GB2312"/>
          <w:spacing w:val="-6"/>
          <w:sz w:val="32"/>
        </w:rPr>
      </w:pPr>
    </w:p>
    <w:p>
      <w:pPr>
        <w:ind w:right="1287"/>
        <w:rPr>
          <w:rFonts w:ascii="仿宋_GB2312" w:eastAsia="仿宋_GB2312"/>
          <w:spacing w:val="-6"/>
          <w:sz w:val="32"/>
        </w:rPr>
      </w:pPr>
    </w:p>
    <w:p>
      <w:pPr>
        <w:ind w:right="1287"/>
        <w:rPr>
          <w:rFonts w:ascii="仿宋_GB2312" w:eastAsia="仿宋_GB2312"/>
          <w:spacing w:val="-6"/>
          <w:sz w:val="32"/>
        </w:rPr>
      </w:pPr>
    </w:p>
    <w:p>
      <w:pPr>
        <w:ind w:right="1287"/>
        <w:rPr>
          <w:rFonts w:ascii="仿宋_GB2312" w:eastAsia="仿宋_GB2312"/>
          <w:spacing w:val="-6"/>
          <w:sz w:val="32"/>
        </w:rPr>
      </w:pPr>
    </w:p>
    <w:p>
      <w:pPr>
        <w:ind w:right="1287"/>
        <w:rPr>
          <w:rFonts w:ascii="仿宋_GB2312" w:eastAsia="仿宋_GB2312"/>
          <w:spacing w:val="-6"/>
          <w:sz w:val="32"/>
        </w:rPr>
      </w:pPr>
    </w:p>
    <w:p>
      <w:pPr>
        <w:ind w:right="1287"/>
        <w:rPr>
          <w:rFonts w:ascii="仿宋_GB2312" w:eastAsia="仿宋_GB2312"/>
          <w:spacing w:val="-6"/>
          <w:sz w:val="32"/>
        </w:rPr>
      </w:pPr>
      <w:r>
        <w:rPr>
          <w:rFonts w:ascii="仿宋_GB2312" w:eastAsia="仿宋_GB2312"/>
          <w:spacing w:val="-6"/>
          <w:sz w:val="32"/>
        </w:rPr>
        <w:pict>
          <v:shape id="_x0000_s1107" o:spid="_x0000_s1107" o:spt="202" type="#_x0000_t202" style="position:absolute;left:0pt;margin-left:-8.4pt;margin-top:618pt;height:123.6pt;width:432pt;mso-position-vertical-relative:page;mso-wrap-distance-bottom:0pt;mso-wrap-distance-top:0pt;z-index:251659264;mso-width-relative:page;mso-height-relative:page;" filled="f" stroked="f" coordsize="21600,21600">
            <v:path/>
            <v:fill on="f" focussize="0,0"/>
            <v:stroke on="f" joinstyle="miter"/>
            <v:imagedata o:title=""/>
            <o:lock v:ext="edit"/>
            <v:textbox inset="2mm,0mm,2.54mm,0mm">
              <w:txbxContent>
                <w:p/>
                <w:tbl>
                  <w:tblPr>
                    <w:tblStyle w:val="7"/>
                    <w:tblW w:w="8460" w:type="dxa"/>
                    <w:tblInd w:w="108" w:type="dxa"/>
                    <w:tblLayout w:type="fixed"/>
                    <w:tblCellMar>
                      <w:top w:w="0" w:type="dxa"/>
                      <w:left w:w="108" w:type="dxa"/>
                      <w:bottom w:w="0" w:type="dxa"/>
                      <w:right w:w="108" w:type="dxa"/>
                    </w:tblCellMar>
                  </w:tblPr>
                  <w:tblGrid>
                    <w:gridCol w:w="8460"/>
                  </w:tblGrid>
                  <w:tr>
                    <w:tblPrEx>
                      <w:tblLayout w:type="fixed"/>
                      <w:tblCellMar>
                        <w:top w:w="0" w:type="dxa"/>
                        <w:left w:w="108" w:type="dxa"/>
                        <w:bottom w:w="0" w:type="dxa"/>
                        <w:right w:w="108" w:type="dxa"/>
                      </w:tblCellMar>
                    </w:tblPrEx>
                    <w:trPr>
                      <w:trHeight w:val="567" w:hRule="atLeast"/>
                    </w:trPr>
                    <w:tc>
                      <w:tcPr>
                        <w:tcW w:w="8460" w:type="dxa"/>
                        <w:tcBorders>
                          <w:top w:val="nil"/>
                          <w:left w:val="nil"/>
                          <w:bottom w:val="single" w:color="auto" w:sz="4" w:space="0"/>
                          <w:right w:val="nil"/>
                        </w:tcBorders>
                        <w:vAlign w:val="center"/>
                      </w:tcPr>
                      <w:p>
                        <w:pPr>
                          <w:pStyle w:val="3"/>
                          <w:rPr>
                            <w:szCs w:val="32"/>
                          </w:rPr>
                        </w:pPr>
                        <w:r>
                          <w:rPr>
                            <w:rFonts w:hint="eastAsia" w:ascii="黑体" w:eastAsia="黑体"/>
                            <w:szCs w:val="32"/>
                          </w:rPr>
                          <w:t>主题词：</w:t>
                        </w:r>
                        <w:r>
                          <w:rPr>
                            <w:rFonts w:hint="eastAsia" w:ascii="宋体" w:hAnsi="宋体"/>
                            <w:sz w:val="30"/>
                            <w:szCs w:val="30"/>
                          </w:rPr>
                          <w:t>发布</w:t>
                        </w:r>
                        <w:r>
                          <w:rPr>
                            <w:rFonts w:ascii="宋体" w:hAnsi="宋体"/>
                            <w:sz w:val="30"/>
                            <w:szCs w:val="30"/>
                          </w:rPr>
                          <w:t xml:space="preserve">  办法  通知</w:t>
                        </w:r>
                      </w:p>
                    </w:tc>
                  </w:tr>
                  <w:tr>
                    <w:tblPrEx>
                      <w:tblLayout w:type="fixed"/>
                      <w:tblCellMar>
                        <w:top w:w="0" w:type="dxa"/>
                        <w:left w:w="108" w:type="dxa"/>
                        <w:bottom w:w="0" w:type="dxa"/>
                        <w:right w:w="108" w:type="dxa"/>
                      </w:tblCellMar>
                    </w:tblPrEx>
                    <w:tc>
                      <w:tcPr>
                        <w:tcW w:w="8460" w:type="dxa"/>
                        <w:tcBorders>
                          <w:left w:val="nil"/>
                          <w:bottom w:val="single" w:color="auto" w:sz="4" w:space="0"/>
                          <w:right w:val="nil"/>
                        </w:tcBorders>
                      </w:tcPr>
                      <w:p>
                        <w:pPr>
                          <w:ind w:firstLine="560" w:firstLineChars="200"/>
                          <w:rPr>
                            <w:rFonts w:ascii="仿宋_GB2312" w:eastAsia="仿宋_GB2312"/>
                            <w:sz w:val="28"/>
                            <w:szCs w:val="28"/>
                          </w:rPr>
                        </w:pPr>
                        <w:r>
                          <w:rPr>
                            <w:rFonts w:hint="eastAsia" w:ascii="仿宋_GB2312" w:eastAsia="仿宋_GB2312"/>
                            <w:sz w:val="28"/>
                            <w:szCs w:val="28"/>
                          </w:rPr>
                          <w:t>发：公司领导，沪、深分公司，债券业务部</w:t>
                        </w:r>
                      </w:p>
                    </w:tc>
                  </w:tr>
                  <w:tr>
                    <w:tblPrEx>
                      <w:tblLayout w:type="fixed"/>
                      <w:tblCellMar>
                        <w:top w:w="0" w:type="dxa"/>
                        <w:left w:w="108" w:type="dxa"/>
                        <w:bottom w:w="0" w:type="dxa"/>
                        <w:right w:w="108" w:type="dxa"/>
                      </w:tblCellMar>
                    </w:tblPrEx>
                    <w:trPr>
                      <w:trHeight w:val="567" w:hRule="atLeast"/>
                    </w:trPr>
                    <w:tc>
                      <w:tcPr>
                        <w:tcW w:w="8460" w:type="dxa"/>
                        <w:tcBorders>
                          <w:left w:val="nil"/>
                          <w:bottom w:val="single" w:color="auto" w:sz="4" w:space="0"/>
                          <w:right w:val="nil"/>
                        </w:tcBorders>
                        <w:vAlign w:val="center"/>
                      </w:tcPr>
                      <w:p>
                        <w:pPr>
                          <w:pStyle w:val="3"/>
                          <w:ind w:firstLine="280" w:firstLineChars="100"/>
                          <w:rPr>
                            <w:sz w:val="28"/>
                            <w:szCs w:val="28"/>
                          </w:rPr>
                        </w:pPr>
                        <w:r>
                          <w:rPr>
                            <w:rFonts w:hint="eastAsia"/>
                            <w:sz w:val="28"/>
                            <w:szCs w:val="28"/>
                          </w:rPr>
                          <w:t>中国结算公司办公室</w:t>
                        </w:r>
                        <w:r>
                          <w:rPr>
                            <w:sz w:val="28"/>
                            <w:szCs w:val="28"/>
                          </w:rPr>
                          <w:t xml:space="preserve"> </w:t>
                        </w:r>
                        <w:r>
                          <w:rPr>
                            <w:rFonts w:hint="eastAsia"/>
                            <w:sz w:val="28"/>
                            <w:szCs w:val="28"/>
                          </w:rPr>
                          <w:t xml:space="preserve">               2020年3月18日印发</w:t>
                        </w:r>
                      </w:p>
                    </w:tc>
                  </w:tr>
                  <w:tr>
                    <w:tblPrEx>
                      <w:tblLayout w:type="fixed"/>
                      <w:tblCellMar>
                        <w:top w:w="0" w:type="dxa"/>
                        <w:left w:w="108" w:type="dxa"/>
                        <w:bottom w:w="0" w:type="dxa"/>
                        <w:right w:w="108" w:type="dxa"/>
                      </w:tblCellMar>
                    </w:tblPrEx>
                    <w:tc>
                      <w:tcPr>
                        <w:tcW w:w="8460" w:type="dxa"/>
                        <w:tcBorders>
                          <w:left w:val="nil"/>
                          <w:right w:val="nil"/>
                        </w:tcBorders>
                      </w:tcPr>
                      <w:p>
                        <w:pPr>
                          <w:pStyle w:val="3"/>
                          <w:ind w:firstLine="280" w:firstLineChars="100"/>
                          <w:rPr>
                            <w:sz w:val="28"/>
                            <w:szCs w:val="28"/>
                          </w:rPr>
                        </w:pPr>
                        <w:r>
                          <w:rPr>
                            <w:rFonts w:hint="eastAsia"/>
                            <w:sz w:val="28"/>
                            <w:szCs w:val="28"/>
                          </w:rPr>
                          <w:t>打字：李莉</w:t>
                        </w:r>
                        <w:r>
                          <w:rPr>
                            <w:sz w:val="28"/>
                            <w:szCs w:val="28"/>
                          </w:rPr>
                          <w:t xml:space="preserve">      </w:t>
                        </w:r>
                        <w:r>
                          <w:rPr>
                            <w:rFonts w:hint="eastAsia"/>
                            <w:sz w:val="28"/>
                            <w:szCs w:val="28"/>
                          </w:rPr>
                          <w:t xml:space="preserve">       校对：</w:t>
                        </w:r>
                        <w:r>
                          <w:rPr>
                            <w:rFonts w:hint="eastAsia"/>
                            <w:spacing w:val="-6"/>
                            <w:sz w:val="28"/>
                            <w:szCs w:val="28"/>
                          </w:rPr>
                          <w:t>刘洋</w:t>
                        </w:r>
                        <w:r>
                          <w:rPr>
                            <w:spacing w:val="-6"/>
                            <w:sz w:val="28"/>
                            <w:szCs w:val="28"/>
                          </w:rPr>
                          <w:t xml:space="preserve">     </w:t>
                        </w:r>
                        <w:r>
                          <w:rPr>
                            <w:rFonts w:hint="eastAsia"/>
                            <w:spacing w:val="-6"/>
                            <w:sz w:val="28"/>
                            <w:szCs w:val="28"/>
                          </w:rPr>
                          <w:t xml:space="preserve">         共印</w:t>
                        </w:r>
                        <w:r>
                          <w:rPr>
                            <w:sz w:val="28"/>
                            <w:szCs w:val="28"/>
                          </w:rPr>
                          <w:t>3</w:t>
                        </w:r>
                        <w:r>
                          <w:rPr>
                            <w:rFonts w:hint="eastAsia"/>
                            <w:sz w:val="28"/>
                            <w:szCs w:val="28"/>
                          </w:rPr>
                          <w:t>份</w:t>
                        </w:r>
                      </w:p>
                    </w:tc>
                  </w:tr>
                </w:tbl>
                <w:p>
                  <w:pPr>
                    <w:pStyle w:val="3"/>
                    <w:ind w:firstLine="320" w:firstLineChars="100"/>
                    <w:rPr>
                      <w:szCs w:val="32"/>
                    </w:rPr>
                  </w:pPr>
                </w:p>
              </w:txbxContent>
            </v:textbox>
            <w10:wrap type="topAndBottom"/>
          </v:shape>
        </w:pict>
      </w:r>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rPr>
    </w:pPr>
    <w:r>
      <w:rPr>
        <w:rFonts w:hint="eastAsia"/>
        <w:sz w:val="28"/>
      </w:rPr>
      <w:t>—</w:t>
    </w:r>
    <w:r>
      <w:rPr>
        <w:rStyle w:val="9"/>
        <w:sz w:val="28"/>
      </w:rPr>
      <w:fldChar w:fldCharType="begin"/>
    </w:r>
    <w:r>
      <w:rPr>
        <w:rStyle w:val="9"/>
        <w:sz w:val="28"/>
      </w:rPr>
      <w:instrText xml:space="preserve"> PAGE </w:instrText>
    </w:r>
    <w:r>
      <w:rPr>
        <w:rStyle w:val="9"/>
        <w:sz w:val="28"/>
      </w:rPr>
      <w:fldChar w:fldCharType="separate"/>
    </w:r>
    <w:r>
      <w:rPr>
        <w:rStyle w:val="9"/>
        <w:sz w:val="28"/>
      </w:rPr>
      <w:t>1</w:t>
    </w:r>
    <w:r>
      <w:rPr>
        <w:rStyle w:val="9"/>
        <w:sz w:val="28"/>
      </w:rPr>
      <w:fldChar w:fldCharType="end"/>
    </w:r>
    <w:r>
      <w:rPr>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rPr>
    </w:pPr>
    <w:r>
      <w:rPr>
        <w:rFonts w:hint="eastAsia"/>
        <w:sz w:val="28"/>
      </w:rPr>
      <w:t>—</w:t>
    </w:r>
    <w:r>
      <w:rPr>
        <w:rStyle w:val="9"/>
        <w:sz w:val="28"/>
      </w:rPr>
      <w:fldChar w:fldCharType="begin"/>
    </w:r>
    <w:r>
      <w:rPr>
        <w:rStyle w:val="9"/>
        <w:sz w:val="28"/>
      </w:rPr>
      <w:instrText xml:space="preserve"> PAGE </w:instrText>
    </w:r>
    <w:r>
      <w:rPr>
        <w:rStyle w:val="9"/>
        <w:sz w:val="28"/>
      </w:rPr>
      <w:fldChar w:fldCharType="separate"/>
    </w:r>
    <w:r>
      <w:rPr>
        <w:rStyle w:val="9"/>
        <w:sz w:val="28"/>
      </w:rPr>
      <w:t>2</w:t>
    </w:r>
    <w:r>
      <w:rPr>
        <w:rStyle w:val="9"/>
        <w:sz w:val="28"/>
      </w:rPr>
      <w:fldChar w:fldCharType="end"/>
    </w:r>
    <w:r>
      <w:rPr>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NotTrackMoves/>
  <w:documentProtection w:enforcement="0"/>
  <w:defaultTabStop w:val="21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E1EA2"/>
    <w:rsid w:val="0001799C"/>
    <w:rsid w:val="000232B6"/>
    <w:rsid w:val="00076F92"/>
    <w:rsid w:val="000B208B"/>
    <w:rsid w:val="001036B4"/>
    <w:rsid w:val="0010518B"/>
    <w:rsid w:val="00132571"/>
    <w:rsid w:val="001448CC"/>
    <w:rsid w:val="00164EAC"/>
    <w:rsid w:val="001A314B"/>
    <w:rsid w:val="001C62D0"/>
    <w:rsid w:val="001E0F30"/>
    <w:rsid w:val="001E34C9"/>
    <w:rsid w:val="002469E0"/>
    <w:rsid w:val="0029423D"/>
    <w:rsid w:val="002A138B"/>
    <w:rsid w:val="002A52A6"/>
    <w:rsid w:val="002B6DAD"/>
    <w:rsid w:val="002C14FA"/>
    <w:rsid w:val="002E4A29"/>
    <w:rsid w:val="00356B80"/>
    <w:rsid w:val="00361750"/>
    <w:rsid w:val="00410A92"/>
    <w:rsid w:val="00410A99"/>
    <w:rsid w:val="00453FF4"/>
    <w:rsid w:val="00482662"/>
    <w:rsid w:val="00484F41"/>
    <w:rsid w:val="004B3E39"/>
    <w:rsid w:val="005A2716"/>
    <w:rsid w:val="005A54C1"/>
    <w:rsid w:val="006054B1"/>
    <w:rsid w:val="006D0323"/>
    <w:rsid w:val="007129CD"/>
    <w:rsid w:val="00755793"/>
    <w:rsid w:val="007736F5"/>
    <w:rsid w:val="007A0411"/>
    <w:rsid w:val="007A7E54"/>
    <w:rsid w:val="007E18A5"/>
    <w:rsid w:val="00844603"/>
    <w:rsid w:val="008D1142"/>
    <w:rsid w:val="008D1695"/>
    <w:rsid w:val="0090663F"/>
    <w:rsid w:val="00936F62"/>
    <w:rsid w:val="00952E84"/>
    <w:rsid w:val="00980013"/>
    <w:rsid w:val="009D505C"/>
    <w:rsid w:val="009E683A"/>
    <w:rsid w:val="00A02DCD"/>
    <w:rsid w:val="00A42836"/>
    <w:rsid w:val="00A650AA"/>
    <w:rsid w:val="00AF5139"/>
    <w:rsid w:val="00AF71F7"/>
    <w:rsid w:val="00BB4446"/>
    <w:rsid w:val="00BB5416"/>
    <w:rsid w:val="00BE1EA2"/>
    <w:rsid w:val="00C00DCE"/>
    <w:rsid w:val="00C36E2C"/>
    <w:rsid w:val="00C50794"/>
    <w:rsid w:val="00C86E30"/>
    <w:rsid w:val="00CB1B19"/>
    <w:rsid w:val="00CD676F"/>
    <w:rsid w:val="00D024FC"/>
    <w:rsid w:val="00D2237D"/>
    <w:rsid w:val="00D75DD4"/>
    <w:rsid w:val="00DC1BA0"/>
    <w:rsid w:val="00DC658B"/>
    <w:rsid w:val="00E15F05"/>
    <w:rsid w:val="00E57E81"/>
    <w:rsid w:val="00E67434"/>
    <w:rsid w:val="00F26B18"/>
    <w:rsid w:val="00F31472"/>
    <w:rsid w:val="00F668D5"/>
    <w:rsid w:val="00F85F1B"/>
    <w:rsid w:val="00FA2057"/>
    <w:rsid w:val="6EB912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1"/>
    <w:uiPriority w:val="0"/>
    <w:rPr>
      <w:rFonts w:ascii="宋体"/>
      <w:sz w:val="18"/>
      <w:szCs w:val="18"/>
    </w:rPr>
  </w:style>
  <w:style w:type="paragraph" w:styleId="3">
    <w:name w:val="Date"/>
    <w:basedOn w:val="1"/>
    <w:next w:val="1"/>
    <w:link w:val="10"/>
    <w:uiPriority w:val="0"/>
    <w:rPr>
      <w:rFonts w:ascii="仿宋_GB2312" w:eastAsia="仿宋_GB2312"/>
      <w:sz w:val="32"/>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character" w:customStyle="1" w:styleId="10">
    <w:name w:val="日期 Char"/>
    <w:basedOn w:val="8"/>
    <w:link w:val="3"/>
    <w:uiPriority w:val="0"/>
    <w:rPr>
      <w:rFonts w:ascii="仿宋_GB2312" w:eastAsia="仿宋_GB2312"/>
      <w:kern w:val="2"/>
      <w:sz w:val="32"/>
      <w:szCs w:val="24"/>
    </w:rPr>
  </w:style>
  <w:style w:type="character" w:customStyle="1" w:styleId="11">
    <w:name w:val="文档结构图 Char"/>
    <w:basedOn w:val="8"/>
    <w:link w:val="2"/>
    <w:uiPriority w:val="0"/>
    <w:rPr>
      <w:rFonts w:ascii="宋体"/>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0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349</Words>
  <Characters>1995</Characters>
  <Lines>16</Lines>
  <Paragraphs>4</Paragraphs>
  <TotalTime>2</TotalTime>
  <ScaleCrop>false</ScaleCrop>
  <LinksUpToDate>false</LinksUpToDate>
  <CharactersWithSpaces>2340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2020-03-20T07:13:00Z</dcterms:created>
  <dc:creator>北分值班室/综合部/北京分公司/ChinaClear</dc:creator>
  <cp:lastModifiedBy>011096</cp:lastModifiedBy>
  <cp:lastPrinted>2003-01-13T08:16:00Z</cp:lastPrinted>
  <dcterms:modified xsi:type="dcterms:W3CDTF">2020-03-25T07:20:17Z</dcterms:modified>
  <dc:title>«打印份数»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