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r>
        <w:rPr>
          <w:rFonts w:hint="eastAsia"/>
          <w:b/>
          <w:sz w:val="28"/>
          <w:szCs w:val="28"/>
        </w:rPr>
        <w:t>海通证券股份有限公司</w:t>
      </w:r>
      <w:r>
        <w:rPr>
          <w:rFonts w:hint="eastAsia"/>
          <w:b/>
          <w:sz w:val="28"/>
          <w:szCs w:val="28"/>
          <w:lang w:val="en-US" w:eastAsia="zh-CN"/>
        </w:rPr>
        <w:t>安庆湖心北路</w:t>
      </w:r>
      <w:r>
        <w:rPr>
          <w:rFonts w:hint="eastAsia"/>
          <w:b/>
          <w:sz w:val="28"/>
          <w:szCs w:val="28"/>
        </w:rPr>
        <w:t>证券营业部</w:t>
      </w:r>
    </w:p>
    <w:p>
      <w:pPr>
        <w:jc w:val="center"/>
        <w:rPr>
          <w:rFonts w:hint="eastAsia"/>
          <w:b/>
          <w:sz w:val="28"/>
          <w:szCs w:val="28"/>
        </w:rPr>
      </w:pPr>
      <w:r>
        <w:rPr>
          <w:rFonts w:hint="eastAsia"/>
          <w:b/>
          <w:sz w:val="28"/>
          <w:szCs w:val="28"/>
        </w:rPr>
        <w:t>交易佣金、服务费用收取标准及收取方式告知确认书</w:t>
      </w:r>
    </w:p>
    <w:p>
      <w:pPr>
        <w:jc w:val="center"/>
        <w:rPr>
          <w:rFonts w:hint="eastAsia"/>
          <w:b/>
          <w:sz w:val="28"/>
          <w:szCs w:val="28"/>
        </w:rPr>
      </w:pPr>
    </w:p>
    <w:p>
      <w:pPr>
        <w:rPr>
          <w:b/>
          <w:sz w:val="28"/>
          <w:szCs w:val="28"/>
        </w:rPr>
      </w:pPr>
      <w:r>
        <w:rPr>
          <w:rFonts w:hint="eastAsia" w:ascii="宋体" w:hAnsi="宋体"/>
          <w:sz w:val="24"/>
          <w:szCs w:val="24"/>
        </w:rPr>
        <w:t>尊敬的客户：</w:t>
      </w:r>
    </w:p>
    <w:p>
      <w:pPr>
        <w:spacing w:line="360" w:lineRule="auto"/>
        <w:ind w:firstLine="540" w:firstLineChars="225"/>
        <w:rPr>
          <w:rFonts w:hint="eastAsia" w:ascii="宋体" w:hAnsi="宋体"/>
          <w:sz w:val="24"/>
          <w:szCs w:val="24"/>
        </w:rPr>
      </w:pPr>
      <w:r>
        <w:rPr>
          <w:rFonts w:hint="eastAsia" w:ascii="宋体" w:hAnsi="宋体"/>
          <w:sz w:val="24"/>
          <w:szCs w:val="24"/>
        </w:rPr>
        <w:t>根据证券监管机构关于客户服务和佣金管理有关规定，现将我部交易佣金、服务费用收取标准和收取方式告知如下：</w:t>
      </w:r>
    </w:p>
    <w:p>
      <w:pPr>
        <w:spacing w:before="156" w:beforeLines="50" w:after="156" w:afterLines="50"/>
        <w:ind w:firstLine="540" w:firstLineChars="224"/>
        <w:jc w:val="left"/>
        <w:rPr>
          <w:rFonts w:hint="eastAsia" w:ascii="宋体" w:hAnsi="宋体"/>
          <w:b/>
          <w:sz w:val="24"/>
          <w:szCs w:val="28"/>
        </w:rPr>
      </w:pPr>
      <w:r>
        <w:rPr>
          <w:rFonts w:hint="eastAsia" w:ascii="宋体" w:hAnsi="宋体"/>
          <w:b/>
          <w:sz w:val="24"/>
          <w:szCs w:val="28"/>
        </w:rPr>
        <w:t>一、佣金收取标准</w:t>
      </w:r>
    </w:p>
    <w:p>
      <w:pPr>
        <w:spacing w:before="156" w:beforeLines="50" w:after="312" w:afterLines="100"/>
        <w:ind w:firstLine="537" w:firstLineChars="224"/>
        <w:jc w:val="left"/>
        <w:rPr>
          <w:rFonts w:hint="eastAsia" w:ascii="宋体" w:hAnsi="宋体"/>
          <w:sz w:val="24"/>
          <w:szCs w:val="24"/>
        </w:rPr>
      </w:pPr>
      <w:r>
        <w:rPr>
          <w:rFonts w:hint="eastAsia" w:ascii="宋体" w:hAnsi="宋体"/>
          <w:sz w:val="24"/>
          <w:szCs w:val="24"/>
        </w:rPr>
        <w:t>客户佣金率=交易佣金率+综合佣金率。其中：交易佣金率=全成本佣金率</w:t>
      </w:r>
      <w:r>
        <w:rPr>
          <w:rFonts w:hint="eastAsia" w:ascii="宋体" w:hAnsi="宋体"/>
          <w:sz w:val="24"/>
          <w:szCs w:val="24"/>
          <w:lang w:val="en-US" w:eastAsia="zh-CN"/>
        </w:rPr>
        <w:t>+</w:t>
      </w:r>
      <w:r>
        <w:rPr>
          <w:rFonts w:hint="eastAsia" w:ascii="宋体" w:hAnsi="宋体"/>
          <w:sz w:val="24"/>
          <w:szCs w:val="24"/>
        </w:rPr>
        <w:t>客户级别调整系数</w:t>
      </w:r>
      <w:r>
        <w:rPr>
          <w:rFonts w:hint="eastAsia" w:ascii="宋体" w:hAnsi="宋体"/>
          <w:sz w:val="24"/>
          <w:szCs w:val="24"/>
          <w:lang w:val="en-US" w:eastAsia="zh-CN"/>
        </w:rPr>
        <w:t>+</w:t>
      </w:r>
      <w:r>
        <w:rPr>
          <w:rFonts w:hint="eastAsia" w:ascii="宋体" w:hAnsi="宋体"/>
          <w:sz w:val="24"/>
          <w:szCs w:val="24"/>
        </w:rPr>
        <w:t>客户忠诚度系数+地域佣金调整。</w:t>
      </w:r>
    </w:p>
    <w:tbl>
      <w:tblPr>
        <w:tblStyle w:val="2"/>
        <w:tblW w:w="6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023"/>
        <w:gridCol w:w="1079"/>
        <w:gridCol w:w="1625"/>
        <w:gridCol w:w="145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71" w:hRule="atLeast"/>
        </w:trPr>
        <w:tc>
          <w:tcPr>
            <w:tcW w:w="1023" w:type="dxa"/>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一级分类</w:t>
            </w:r>
          </w:p>
        </w:tc>
        <w:tc>
          <w:tcPr>
            <w:tcW w:w="1079" w:type="dxa"/>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二级分类</w:t>
            </w:r>
          </w:p>
        </w:tc>
        <w:tc>
          <w:tcPr>
            <w:tcW w:w="1625" w:type="dxa"/>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三级分类</w:t>
            </w:r>
          </w:p>
        </w:tc>
        <w:tc>
          <w:tcPr>
            <w:tcW w:w="1450" w:type="dxa"/>
            <w:noWrap w:val="0"/>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参数</w:t>
            </w:r>
          </w:p>
        </w:tc>
        <w:tc>
          <w:tcPr>
            <w:tcW w:w="1200" w:type="dxa"/>
            <w:noWrap w:val="0"/>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佣金系数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97" w:hRule="atLeast"/>
        </w:trPr>
        <w:tc>
          <w:tcPr>
            <w:tcW w:w="1023" w:type="dxa"/>
            <w:vMerge w:val="restart"/>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交易佣金率</w:t>
            </w:r>
          </w:p>
        </w:tc>
        <w:tc>
          <w:tcPr>
            <w:tcW w:w="1079" w:type="dxa"/>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全成本佣金率</w:t>
            </w:r>
          </w:p>
        </w:tc>
        <w:tc>
          <w:tcPr>
            <w:tcW w:w="1625" w:type="dxa"/>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根据公式获得</w:t>
            </w:r>
          </w:p>
        </w:tc>
        <w:tc>
          <w:tcPr>
            <w:tcW w:w="1450" w:type="dxa"/>
            <w:noWrap w:val="0"/>
            <w:vAlign w:val="center"/>
          </w:tcPr>
          <w:p>
            <w:pPr>
              <w:autoSpaceDE w:val="0"/>
              <w:autoSpaceDN w:val="0"/>
              <w:adjustRightInd w:val="0"/>
              <w:jc w:val="center"/>
              <w:rPr>
                <w:rFonts w:ascii="宋体" w:cs="宋体"/>
                <w:kern w:val="0"/>
                <w:sz w:val="22"/>
              </w:rPr>
            </w:pPr>
            <w:r>
              <w:rPr>
                <w:rFonts w:hint="eastAsia" w:ascii="宋体" w:cs="宋体"/>
                <w:kern w:val="0"/>
                <w:sz w:val="22"/>
              </w:rPr>
              <w:t>-</w:t>
            </w:r>
          </w:p>
        </w:tc>
        <w:tc>
          <w:tcPr>
            <w:tcW w:w="1200" w:type="dxa"/>
            <w:noWrap w:val="0"/>
            <w:vAlign w:val="center"/>
          </w:tcPr>
          <w:p>
            <w:pPr>
              <w:autoSpaceDE w:val="0"/>
              <w:autoSpaceDN w:val="0"/>
              <w:adjustRightInd w:val="0"/>
              <w:jc w:val="center"/>
              <w:rPr>
                <w:rFonts w:hint="eastAsia" w:ascii="宋体" w:cs="宋体"/>
                <w:color w:val="000000"/>
                <w:kern w:val="0"/>
                <w:sz w:val="22"/>
              </w:rPr>
            </w:pPr>
            <w:r>
              <w:rPr>
                <w:rFonts w:hint="eastAsia" w:ascii="宋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31" w:hRule="atLeast"/>
        </w:trPr>
        <w:tc>
          <w:tcPr>
            <w:tcW w:w="1023" w:type="dxa"/>
            <w:vMerge w:val="continue"/>
            <w:noWrap w:val="0"/>
            <w:vAlign w:val="center"/>
          </w:tcPr>
          <w:p>
            <w:pPr>
              <w:autoSpaceDE w:val="0"/>
              <w:autoSpaceDN w:val="0"/>
              <w:adjustRightInd w:val="0"/>
              <w:rPr>
                <w:rFonts w:ascii="宋体" w:cs="宋体"/>
                <w:color w:val="000000"/>
                <w:kern w:val="0"/>
                <w:sz w:val="22"/>
              </w:rPr>
            </w:pPr>
          </w:p>
        </w:tc>
        <w:tc>
          <w:tcPr>
            <w:tcW w:w="1079" w:type="dxa"/>
            <w:vMerge w:val="restart"/>
            <w:noWrap w:val="0"/>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客户</w:t>
            </w:r>
            <w:r>
              <w:rPr>
                <w:rFonts w:hint="eastAsia" w:ascii="宋体" w:cs="宋体"/>
                <w:color w:val="000000"/>
                <w:kern w:val="0"/>
                <w:sz w:val="22"/>
                <w:lang w:val="en-US" w:eastAsia="zh-CN"/>
              </w:rPr>
              <w:t>资产</w:t>
            </w:r>
            <w:r>
              <w:rPr>
                <w:rFonts w:hint="eastAsia" w:ascii="宋体" w:cs="宋体"/>
                <w:color w:val="000000"/>
                <w:kern w:val="0"/>
                <w:sz w:val="22"/>
              </w:rPr>
              <w:t>级别调整</w:t>
            </w:r>
          </w:p>
          <w:p>
            <w:pPr>
              <w:autoSpaceDE w:val="0"/>
              <w:autoSpaceDN w:val="0"/>
              <w:adjustRightInd w:val="0"/>
              <w:rPr>
                <w:rFonts w:ascii="宋体" w:cs="宋体"/>
                <w:color w:val="000000"/>
                <w:kern w:val="0"/>
                <w:sz w:val="22"/>
              </w:rPr>
            </w:pPr>
          </w:p>
        </w:tc>
        <w:tc>
          <w:tcPr>
            <w:tcW w:w="1625" w:type="dxa"/>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客户级别</w:t>
            </w:r>
            <w:r>
              <w:rPr>
                <w:rFonts w:ascii="宋体" w:cs="宋体"/>
                <w:color w:val="000000"/>
                <w:kern w:val="0"/>
                <w:sz w:val="22"/>
              </w:rPr>
              <w:t>A</w:t>
            </w:r>
          </w:p>
        </w:tc>
        <w:tc>
          <w:tcPr>
            <w:tcW w:w="1450" w:type="dxa"/>
            <w:noWrap w:val="0"/>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w:t>
            </w:r>
            <w:r>
              <w:rPr>
                <w:rFonts w:hint="eastAsia" w:ascii="宋体" w:cs="宋体"/>
                <w:color w:val="000000"/>
                <w:kern w:val="0"/>
                <w:sz w:val="22"/>
              </w:rPr>
              <w:t>1</w:t>
            </w:r>
            <w:r>
              <w:rPr>
                <w:rFonts w:ascii="宋体" w:cs="宋体"/>
                <w:color w:val="000000"/>
                <w:kern w:val="0"/>
                <w:sz w:val="22"/>
              </w:rPr>
              <w:t>00</w:t>
            </w:r>
            <w:r>
              <w:rPr>
                <w:rFonts w:hint="eastAsia" w:ascii="宋体" w:cs="宋体"/>
                <w:color w:val="000000"/>
                <w:kern w:val="0"/>
                <w:sz w:val="22"/>
              </w:rPr>
              <w:t>万</w:t>
            </w:r>
            <w:r>
              <w:rPr>
                <w:rFonts w:ascii="宋体" w:cs="宋体"/>
                <w:color w:val="000000"/>
                <w:kern w:val="0"/>
                <w:sz w:val="22"/>
              </w:rPr>
              <w:t>,+</w:t>
            </w:r>
            <w:r>
              <w:rPr>
                <w:rFonts w:hint="eastAsia" w:ascii="宋体" w:cs="宋体"/>
                <w:color w:val="000000"/>
                <w:kern w:val="0"/>
                <w:sz w:val="22"/>
              </w:rPr>
              <w:t>∞</w:t>
            </w:r>
            <w:r>
              <w:rPr>
                <w:rFonts w:ascii="宋体" w:cs="宋体"/>
                <w:color w:val="000000"/>
                <w:kern w:val="0"/>
                <w:sz w:val="22"/>
              </w:rPr>
              <w:t>)</w:t>
            </w:r>
          </w:p>
        </w:tc>
        <w:tc>
          <w:tcPr>
            <w:tcW w:w="1200" w:type="dxa"/>
            <w:noWrap w:val="0"/>
            <w:vAlign w:val="center"/>
          </w:tcPr>
          <w:p>
            <w:pPr>
              <w:autoSpaceDE w:val="0"/>
              <w:autoSpaceDN w:val="0"/>
              <w:adjustRightInd w:val="0"/>
              <w:jc w:val="center"/>
              <w:rPr>
                <w:rFonts w:hint="default" w:ascii="宋体" w:eastAsia="宋体" w:cs="宋体"/>
                <w:color w:val="000000"/>
                <w:kern w:val="0"/>
                <w:sz w:val="22"/>
                <w:lang w:val="en-US" w:eastAsia="zh-CN"/>
              </w:rPr>
            </w:pPr>
            <w:r>
              <w:rPr>
                <w:rFonts w:hint="eastAsia" w:ascii="宋体" w:cs="宋体"/>
                <w:color w:val="000000"/>
                <w:kern w:val="0"/>
                <w:sz w:val="22"/>
              </w:rPr>
              <w:t>0.</w:t>
            </w:r>
            <w:r>
              <w:rPr>
                <w:rFonts w:hint="eastAsia" w:ascii="宋体" w:cs="宋体"/>
                <w:color w:val="000000"/>
                <w:kern w:val="0"/>
                <w:sz w:val="22"/>
                <w:lang w:val="en-US" w:eastAsia="zh-CN"/>
              </w:rPr>
              <w:t>1</w:t>
            </w:r>
            <w:r>
              <w:rPr>
                <w:rFonts w:hint="eastAsia" w:ascii="宋体" w:cs="宋体"/>
                <w:color w:val="000000"/>
                <w:kern w:val="0"/>
                <w:sz w:val="22"/>
              </w:rPr>
              <w:t>～</w:t>
            </w:r>
            <w:r>
              <w:rPr>
                <w:rFonts w:hint="eastAsia" w:ascii="宋体" w:cs="宋体"/>
                <w:color w:val="000000"/>
                <w:kern w:val="0"/>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31" w:hRule="atLeast"/>
        </w:trPr>
        <w:tc>
          <w:tcPr>
            <w:tcW w:w="1023" w:type="dxa"/>
            <w:vMerge w:val="continue"/>
            <w:noWrap w:val="0"/>
            <w:vAlign w:val="center"/>
          </w:tcPr>
          <w:p>
            <w:pPr>
              <w:autoSpaceDE w:val="0"/>
              <w:autoSpaceDN w:val="0"/>
              <w:adjustRightInd w:val="0"/>
              <w:rPr>
                <w:rFonts w:ascii="宋体" w:cs="宋体"/>
                <w:color w:val="000000"/>
                <w:kern w:val="0"/>
                <w:sz w:val="22"/>
              </w:rPr>
            </w:pPr>
          </w:p>
        </w:tc>
        <w:tc>
          <w:tcPr>
            <w:tcW w:w="1079" w:type="dxa"/>
            <w:vMerge w:val="continue"/>
            <w:noWrap w:val="0"/>
            <w:vAlign w:val="center"/>
          </w:tcPr>
          <w:p>
            <w:pPr>
              <w:autoSpaceDE w:val="0"/>
              <w:autoSpaceDN w:val="0"/>
              <w:adjustRightInd w:val="0"/>
              <w:rPr>
                <w:rFonts w:ascii="宋体" w:cs="宋体"/>
                <w:color w:val="000000"/>
                <w:kern w:val="0"/>
                <w:sz w:val="22"/>
              </w:rPr>
            </w:pPr>
          </w:p>
        </w:tc>
        <w:tc>
          <w:tcPr>
            <w:tcW w:w="1625" w:type="dxa"/>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客户级别</w:t>
            </w:r>
            <w:r>
              <w:rPr>
                <w:rFonts w:ascii="宋体" w:cs="宋体"/>
                <w:color w:val="000000"/>
                <w:kern w:val="0"/>
                <w:sz w:val="22"/>
              </w:rPr>
              <w:t>B</w:t>
            </w:r>
          </w:p>
        </w:tc>
        <w:tc>
          <w:tcPr>
            <w:tcW w:w="1450" w:type="dxa"/>
            <w:noWrap w:val="0"/>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w:t>
            </w:r>
            <w:r>
              <w:rPr>
                <w:rFonts w:hint="eastAsia" w:ascii="宋体" w:cs="宋体"/>
                <w:color w:val="000000"/>
                <w:kern w:val="0"/>
                <w:sz w:val="22"/>
              </w:rPr>
              <w:t>5</w:t>
            </w:r>
            <w:r>
              <w:rPr>
                <w:rFonts w:ascii="宋体" w:cs="宋体"/>
                <w:color w:val="000000"/>
                <w:kern w:val="0"/>
                <w:sz w:val="22"/>
              </w:rPr>
              <w:t>0</w:t>
            </w:r>
            <w:r>
              <w:rPr>
                <w:rFonts w:hint="eastAsia" w:ascii="宋体" w:cs="宋体"/>
                <w:color w:val="000000"/>
                <w:kern w:val="0"/>
                <w:sz w:val="22"/>
              </w:rPr>
              <w:t>万</w:t>
            </w:r>
            <w:r>
              <w:rPr>
                <w:rFonts w:ascii="宋体" w:cs="宋体"/>
                <w:color w:val="000000"/>
                <w:kern w:val="0"/>
                <w:sz w:val="22"/>
              </w:rPr>
              <w:t>,</w:t>
            </w:r>
            <w:r>
              <w:rPr>
                <w:rFonts w:hint="eastAsia" w:ascii="宋体" w:cs="宋体"/>
                <w:color w:val="000000"/>
                <w:kern w:val="0"/>
                <w:sz w:val="22"/>
              </w:rPr>
              <w:t>1</w:t>
            </w:r>
            <w:r>
              <w:rPr>
                <w:rFonts w:ascii="宋体" w:cs="宋体"/>
                <w:color w:val="000000"/>
                <w:kern w:val="0"/>
                <w:sz w:val="22"/>
              </w:rPr>
              <w:t>00</w:t>
            </w:r>
            <w:r>
              <w:rPr>
                <w:rFonts w:hint="eastAsia" w:ascii="宋体" w:cs="宋体"/>
                <w:color w:val="000000"/>
                <w:kern w:val="0"/>
                <w:sz w:val="22"/>
              </w:rPr>
              <w:t>万）</w:t>
            </w:r>
          </w:p>
        </w:tc>
        <w:tc>
          <w:tcPr>
            <w:tcW w:w="1200" w:type="dxa"/>
            <w:noWrap w:val="0"/>
            <w:vAlign w:val="center"/>
          </w:tcPr>
          <w:p>
            <w:pPr>
              <w:autoSpaceDE w:val="0"/>
              <w:autoSpaceDN w:val="0"/>
              <w:adjustRightInd w:val="0"/>
              <w:jc w:val="center"/>
              <w:rPr>
                <w:rFonts w:hint="default" w:ascii="宋体" w:eastAsia="宋体" w:cs="宋体"/>
                <w:color w:val="000000"/>
                <w:kern w:val="0"/>
                <w:sz w:val="22"/>
                <w:lang w:val="en-US" w:eastAsia="zh-CN"/>
              </w:rPr>
            </w:pPr>
            <w:r>
              <w:rPr>
                <w:rFonts w:ascii="宋体" w:cs="宋体"/>
                <w:color w:val="000000"/>
                <w:kern w:val="0"/>
                <w:sz w:val="22"/>
              </w:rPr>
              <w:t>0.</w:t>
            </w:r>
            <w:r>
              <w:rPr>
                <w:rFonts w:hint="eastAsia" w:ascii="宋体" w:cs="宋体"/>
                <w:color w:val="000000"/>
                <w:kern w:val="0"/>
                <w:sz w:val="22"/>
                <w:lang w:val="en-US" w:eastAsia="zh-CN"/>
              </w:rPr>
              <w:t>3</w:t>
            </w:r>
            <w:r>
              <w:rPr>
                <w:rFonts w:hint="eastAsia" w:ascii="宋体" w:cs="宋体"/>
                <w:color w:val="000000"/>
                <w:kern w:val="0"/>
                <w:sz w:val="22"/>
              </w:rPr>
              <w:t>～</w:t>
            </w:r>
            <w:r>
              <w:rPr>
                <w:rFonts w:hint="eastAsia" w:ascii="宋体" w:cs="宋体"/>
                <w:color w:val="000000"/>
                <w:kern w:val="0"/>
                <w:sz w:val="22"/>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31" w:hRule="atLeast"/>
        </w:trPr>
        <w:tc>
          <w:tcPr>
            <w:tcW w:w="1023" w:type="dxa"/>
            <w:vMerge w:val="continue"/>
            <w:noWrap w:val="0"/>
            <w:vAlign w:val="center"/>
          </w:tcPr>
          <w:p>
            <w:pPr>
              <w:autoSpaceDE w:val="0"/>
              <w:autoSpaceDN w:val="0"/>
              <w:adjustRightInd w:val="0"/>
              <w:rPr>
                <w:rFonts w:ascii="宋体" w:cs="宋体"/>
                <w:color w:val="000000"/>
                <w:kern w:val="0"/>
                <w:sz w:val="22"/>
              </w:rPr>
            </w:pPr>
          </w:p>
        </w:tc>
        <w:tc>
          <w:tcPr>
            <w:tcW w:w="1079" w:type="dxa"/>
            <w:vMerge w:val="continue"/>
            <w:noWrap w:val="0"/>
            <w:vAlign w:val="center"/>
          </w:tcPr>
          <w:p>
            <w:pPr>
              <w:autoSpaceDE w:val="0"/>
              <w:autoSpaceDN w:val="0"/>
              <w:adjustRightInd w:val="0"/>
              <w:rPr>
                <w:rFonts w:ascii="宋体" w:cs="宋体"/>
                <w:color w:val="000000"/>
                <w:kern w:val="0"/>
                <w:sz w:val="22"/>
              </w:rPr>
            </w:pPr>
          </w:p>
        </w:tc>
        <w:tc>
          <w:tcPr>
            <w:tcW w:w="1625" w:type="dxa"/>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客户级别</w:t>
            </w:r>
            <w:r>
              <w:rPr>
                <w:rFonts w:ascii="宋体" w:cs="宋体"/>
                <w:color w:val="000000"/>
                <w:kern w:val="0"/>
                <w:sz w:val="22"/>
              </w:rPr>
              <w:t>C</w:t>
            </w:r>
          </w:p>
        </w:tc>
        <w:tc>
          <w:tcPr>
            <w:tcW w:w="1450" w:type="dxa"/>
            <w:noWrap w:val="0"/>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w:t>
            </w:r>
            <w:r>
              <w:rPr>
                <w:rFonts w:hint="eastAsia" w:ascii="宋体" w:cs="宋体"/>
                <w:color w:val="000000"/>
                <w:kern w:val="0"/>
                <w:sz w:val="22"/>
              </w:rPr>
              <w:t>1</w:t>
            </w:r>
            <w:r>
              <w:rPr>
                <w:rFonts w:ascii="宋体" w:cs="宋体"/>
                <w:color w:val="000000"/>
                <w:kern w:val="0"/>
                <w:sz w:val="22"/>
              </w:rPr>
              <w:t>0</w:t>
            </w:r>
            <w:r>
              <w:rPr>
                <w:rFonts w:hint="eastAsia" w:ascii="宋体" w:cs="宋体"/>
                <w:color w:val="000000"/>
                <w:kern w:val="0"/>
                <w:sz w:val="22"/>
              </w:rPr>
              <w:t>万</w:t>
            </w:r>
            <w:r>
              <w:rPr>
                <w:rFonts w:ascii="宋体" w:cs="宋体"/>
                <w:color w:val="000000"/>
                <w:kern w:val="0"/>
                <w:sz w:val="22"/>
              </w:rPr>
              <w:t>,</w:t>
            </w:r>
            <w:r>
              <w:rPr>
                <w:rFonts w:hint="eastAsia" w:ascii="宋体" w:cs="宋体"/>
                <w:color w:val="000000"/>
                <w:kern w:val="0"/>
                <w:sz w:val="22"/>
              </w:rPr>
              <w:t>5</w:t>
            </w:r>
            <w:r>
              <w:rPr>
                <w:rFonts w:ascii="宋体" w:cs="宋体"/>
                <w:color w:val="000000"/>
                <w:kern w:val="0"/>
                <w:sz w:val="22"/>
              </w:rPr>
              <w:t>0</w:t>
            </w:r>
            <w:r>
              <w:rPr>
                <w:rFonts w:hint="eastAsia" w:ascii="宋体" w:cs="宋体"/>
                <w:color w:val="000000"/>
                <w:kern w:val="0"/>
                <w:sz w:val="22"/>
              </w:rPr>
              <w:t>万</w:t>
            </w:r>
            <w:r>
              <w:rPr>
                <w:rFonts w:ascii="宋体" w:cs="宋体"/>
                <w:color w:val="000000"/>
                <w:kern w:val="0"/>
                <w:sz w:val="22"/>
              </w:rPr>
              <w:t>)</w:t>
            </w:r>
          </w:p>
        </w:tc>
        <w:tc>
          <w:tcPr>
            <w:tcW w:w="1200" w:type="dxa"/>
            <w:noWrap w:val="0"/>
            <w:vAlign w:val="center"/>
          </w:tcPr>
          <w:p>
            <w:pPr>
              <w:autoSpaceDE w:val="0"/>
              <w:autoSpaceDN w:val="0"/>
              <w:adjustRightInd w:val="0"/>
              <w:jc w:val="center"/>
              <w:rPr>
                <w:rFonts w:hint="default" w:ascii="宋体" w:eastAsia="宋体" w:cs="宋体"/>
                <w:color w:val="000000"/>
                <w:kern w:val="0"/>
                <w:sz w:val="22"/>
                <w:lang w:val="en-US" w:eastAsia="zh-CN"/>
              </w:rPr>
            </w:pPr>
            <w:r>
              <w:rPr>
                <w:rFonts w:hint="eastAsia" w:ascii="宋体" w:cs="宋体"/>
                <w:color w:val="000000"/>
                <w:kern w:val="0"/>
                <w:sz w:val="22"/>
              </w:rPr>
              <w:t>0.</w:t>
            </w:r>
            <w:r>
              <w:rPr>
                <w:rFonts w:hint="eastAsia" w:ascii="宋体" w:cs="宋体"/>
                <w:color w:val="000000"/>
                <w:kern w:val="0"/>
                <w:sz w:val="22"/>
                <w:lang w:val="en-US" w:eastAsia="zh-CN"/>
              </w:rPr>
              <w:t>5</w:t>
            </w:r>
            <w:r>
              <w:rPr>
                <w:rFonts w:hint="eastAsia" w:ascii="宋体" w:cs="宋体"/>
                <w:color w:val="000000"/>
                <w:kern w:val="0"/>
                <w:sz w:val="22"/>
              </w:rPr>
              <w:t>～</w:t>
            </w:r>
            <w:r>
              <w:rPr>
                <w:rFonts w:hint="eastAsia" w:ascii="宋体" w:cs="宋体"/>
                <w:color w:val="000000"/>
                <w:kern w:val="0"/>
                <w:sz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31" w:hRule="atLeast"/>
        </w:trPr>
        <w:tc>
          <w:tcPr>
            <w:tcW w:w="1023" w:type="dxa"/>
            <w:vMerge w:val="continue"/>
            <w:noWrap w:val="0"/>
            <w:vAlign w:val="center"/>
          </w:tcPr>
          <w:p>
            <w:pPr>
              <w:autoSpaceDE w:val="0"/>
              <w:autoSpaceDN w:val="0"/>
              <w:adjustRightInd w:val="0"/>
              <w:rPr>
                <w:rFonts w:ascii="宋体" w:cs="宋体"/>
                <w:color w:val="000000"/>
                <w:kern w:val="0"/>
                <w:sz w:val="22"/>
              </w:rPr>
            </w:pPr>
          </w:p>
        </w:tc>
        <w:tc>
          <w:tcPr>
            <w:tcW w:w="1079" w:type="dxa"/>
            <w:vMerge w:val="continue"/>
            <w:noWrap w:val="0"/>
            <w:vAlign w:val="center"/>
          </w:tcPr>
          <w:p>
            <w:pPr>
              <w:autoSpaceDE w:val="0"/>
              <w:autoSpaceDN w:val="0"/>
              <w:adjustRightInd w:val="0"/>
              <w:rPr>
                <w:rFonts w:ascii="宋体" w:cs="宋体"/>
                <w:color w:val="000000"/>
                <w:kern w:val="0"/>
                <w:sz w:val="22"/>
              </w:rPr>
            </w:pPr>
          </w:p>
        </w:tc>
        <w:tc>
          <w:tcPr>
            <w:tcW w:w="1625" w:type="dxa"/>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客户级别</w:t>
            </w:r>
            <w:r>
              <w:rPr>
                <w:rFonts w:ascii="宋体" w:cs="宋体"/>
                <w:color w:val="000000"/>
                <w:kern w:val="0"/>
                <w:sz w:val="22"/>
              </w:rPr>
              <w:t>D</w:t>
            </w:r>
          </w:p>
        </w:tc>
        <w:tc>
          <w:tcPr>
            <w:tcW w:w="1450" w:type="dxa"/>
            <w:noWrap w:val="0"/>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w:t>
            </w:r>
            <w:r>
              <w:rPr>
                <w:rFonts w:hint="eastAsia" w:ascii="宋体" w:cs="宋体"/>
                <w:color w:val="000000"/>
                <w:kern w:val="0"/>
                <w:sz w:val="22"/>
              </w:rPr>
              <w:t>0万</w:t>
            </w:r>
            <w:r>
              <w:rPr>
                <w:rFonts w:ascii="宋体" w:cs="宋体"/>
                <w:color w:val="000000"/>
                <w:kern w:val="0"/>
                <w:sz w:val="22"/>
              </w:rPr>
              <w:t>,</w:t>
            </w:r>
            <w:r>
              <w:rPr>
                <w:rFonts w:hint="eastAsia" w:ascii="宋体" w:cs="宋体"/>
                <w:color w:val="000000"/>
                <w:kern w:val="0"/>
                <w:sz w:val="22"/>
              </w:rPr>
              <w:t>10万）</w:t>
            </w:r>
          </w:p>
        </w:tc>
        <w:tc>
          <w:tcPr>
            <w:tcW w:w="1200" w:type="dxa"/>
            <w:noWrap w:val="0"/>
            <w:vAlign w:val="center"/>
          </w:tcPr>
          <w:p>
            <w:pPr>
              <w:autoSpaceDE w:val="0"/>
              <w:autoSpaceDN w:val="0"/>
              <w:adjustRightInd w:val="0"/>
              <w:jc w:val="center"/>
              <w:rPr>
                <w:rFonts w:hint="default" w:ascii="宋体" w:eastAsia="宋体" w:cs="宋体"/>
                <w:color w:val="000000"/>
                <w:kern w:val="0"/>
                <w:sz w:val="22"/>
                <w:lang w:val="en-US" w:eastAsia="zh-CN"/>
              </w:rPr>
            </w:pPr>
            <w:r>
              <w:rPr>
                <w:rFonts w:hint="eastAsia" w:ascii="宋体" w:cs="宋体"/>
                <w:color w:val="000000"/>
                <w:kern w:val="0"/>
                <w:sz w:val="22"/>
                <w:lang w:val="en-US" w:eastAsia="zh-CN"/>
              </w:rPr>
              <w:t>0.7</w:t>
            </w:r>
            <w:r>
              <w:rPr>
                <w:rFonts w:hint="eastAsia" w:ascii="宋体" w:cs="宋体"/>
                <w:color w:val="000000"/>
                <w:kern w:val="0"/>
                <w:sz w:val="22"/>
              </w:rPr>
              <w:t>～</w:t>
            </w:r>
            <w:r>
              <w:rPr>
                <w:rFonts w:hint="eastAsia" w:ascii="宋体" w:cs="宋体"/>
                <w:color w:val="000000"/>
                <w:kern w:val="0"/>
                <w:sz w:val="2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31" w:hRule="atLeast"/>
        </w:trPr>
        <w:tc>
          <w:tcPr>
            <w:tcW w:w="1023" w:type="dxa"/>
            <w:vMerge w:val="continue"/>
            <w:noWrap w:val="0"/>
            <w:vAlign w:val="center"/>
          </w:tcPr>
          <w:p>
            <w:pPr>
              <w:autoSpaceDE w:val="0"/>
              <w:autoSpaceDN w:val="0"/>
              <w:adjustRightInd w:val="0"/>
              <w:rPr>
                <w:rFonts w:ascii="宋体" w:cs="宋体"/>
                <w:color w:val="000000"/>
                <w:kern w:val="0"/>
                <w:sz w:val="22"/>
              </w:rPr>
            </w:pPr>
          </w:p>
        </w:tc>
        <w:tc>
          <w:tcPr>
            <w:tcW w:w="1079" w:type="dxa"/>
            <w:vMerge w:val="restart"/>
            <w:noWrap w:val="0"/>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客户忠诚度调整</w:t>
            </w:r>
          </w:p>
        </w:tc>
        <w:tc>
          <w:tcPr>
            <w:tcW w:w="1625" w:type="dxa"/>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忠诚度</w:t>
            </w:r>
            <w:r>
              <w:rPr>
                <w:rFonts w:ascii="宋体" w:cs="宋体"/>
                <w:color w:val="000000"/>
                <w:kern w:val="0"/>
                <w:sz w:val="22"/>
              </w:rPr>
              <w:t>A</w:t>
            </w:r>
          </w:p>
        </w:tc>
        <w:tc>
          <w:tcPr>
            <w:tcW w:w="1450" w:type="dxa"/>
            <w:noWrap w:val="0"/>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&gt;=10</w:t>
            </w:r>
            <w:r>
              <w:rPr>
                <w:rFonts w:hint="eastAsia" w:ascii="宋体" w:cs="宋体"/>
                <w:color w:val="000000"/>
                <w:kern w:val="0"/>
                <w:sz w:val="22"/>
              </w:rPr>
              <w:t>年</w:t>
            </w:r>
          </w:p>
        </w:tc>
        <w:tc>
          <w:tcPr>
            <w:tcW w:w="1200" w:type="dxa"/>
            <w:noWrap w:val="0"/>
            <w:vAlign w:val="center"/>
          </w:tcPr>
          <w:p>
            <w:pPr>
              <w:autoSpaceDE w:val="0"/>
              <w:autoSpaceDN w:val="0"/>
              <w:adjustRightInd w:val="0"/>
              <w:jc w:val="center"/>
              <w:rPr>
                <w:rFonts w:hint="default" w:ascii="宋体" w:eastAsia="宋体" w:cs="宋体"/>
                <w:color w:val="000000"/>
                <w:kern w:val="0"/>
                <w:sz w:val="22"/>
                <w:lang w:val="en-US" w:eastAsia="zh-CN"/>
              </w:rPr>
            </w:pPr>
            <w:r>
              <w:rPr>
                <w:rFonts w:hint="eastAsia" w:ascii="宋体" w:cs="宋体"/>
                <w:color w:val="000000"/>
                <w:kern w:val="0"/>
                <w:sz w:val="22"/>
              </w:rPr>
              <w:t>0.</w:t>
            </w:r>
            <w:r>
              <w:rPr>
                <w:rFonts w:hint="eastAsia" w:ascii="宋体" w:cs="宋体"/>
                <w:color w:val="000000"/>
                <w:kern w:val="0"/>
                <w:sz w:val="22"/>
                <w:lang w:val="en-US" w:eastAsia="zh-CN"/>
              </w:rPr>
              <w:t>2</w:t>
            </w:r>
            <w:r>
              <w:rPr>
                <w:rFonts w:hint="eastAsia" w:ascii="宋体" w:cs="宋体"/>
                <w:color w:val="000000"/>
                <w:kern w:val="0"/>
                <w:sz w:val="22"/>
              </w:rPr>
              <w:t>～</w:t>
            </w:r>
            <w:r>
              <w:rPr>
                <w:rFonts w:hint="eastAsia" w:ascii="宋体" w:cs="宋体"/>
                <w:color w:val="000000"/>
                <w:kern w:val="0"/>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31" w:hRule="atLeast"/>
        </w:trPr>
        <w:tc>
          <w:tcPr>
            <w:tcW w:w="1023" w:type="dxa"/>
            <w:vMerge w:val="continue"/>
            <w:noWrap w:val="0"/>
            <w:vAlign w:val="center"/>
          </w:tcPr>
          <w:p>
            <w:pPr>
              <w:autoSpaceDE w:val="0"/>
              <w:autoSpaceDN w:val="0"/>
              <w:adjustRightInd w:val="0"/>
              <w:rPr>
                <w:rFonts w:ascii="宋体" w:cs="宋体"/>
                <w:color w:val="000000"/>
                <w:kern w:val="0"/>
                <w:sz w:val="22"/>
              </w:rPr>
            </w:pPr>
          </w:p>
        </w:tc>
        <w:tc>
          <w:tcPr>
            <w:tcW w:w="1079" w:type="dxa"/>
            <w:vMerge w:val="continue"/>
            <w:noWrap w:val="0"/>
            <w:vAlign w:val="center"/>
          </w:tcPr>
          <w:p>
            <w:pPr>
              <w:autoSpaceDE w:val="0"/>
              <w:autoSpaceDN w:val="0"/>
              <w:adjustRightInd w:val="0"/>
              <w:rPr>
                <w:rFonts w:ascii="宋体" w:cs="宋体"/>
                <w:color w:val="000000"/>
                <w:kern w:val="0"/>
                <w:sz w:val="22"/>
              </w:rPr>
            </w:pPr>
          </w:p>
        </w:tc>
        <w:tc>
          <w:tcPr>
            <w:tcW w:w="1625" w:type="dxa"/>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忠诚度</w:t>
            </w:r>
            <w:r>
              <w:rPr>
                <w:rFonts w:ascii="宋体" w:cs="宋体"/>
                <w:color w:val="000000"/>
                <w:kern w:val="0"/>
                <w:sz w:val="22"/>
              </w:rPr>
              <w:t>B</w:t>
            </w:r>
          </w:p>
        </w:tc>
        <w:tc>
          <w:tcPr>
            <w:tcW w:w="1450" w:type="dxa"/>
            <w:noWrap w:val="0"/>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[5</w:t>
            </w:r>
            <w:r>
              <w:rPr>
                <w:rFonts w:hint="eastAsia" w:ascii="宋体" w:cs="宋体"/>
                <w:color w:val="000000"/>
                <w:kern w:val="0"/>
                <w:sz w:val="22"/>
              </w:rPr>
              <w:t>年</w:t>
            </w:r>
            <w:r>
              <w:rPr>
                <w:rFonts w:ascii="宋体" w:cs="宋体"/>
                <w:color w:val="000000"/>
                <w:kern w:val="0"/>
                <w:sz w:val="22"/>
              </w:rPr>
              <w:t>,10</w:t>
            </w:r>
            <w:r>
              <w:rPr>
                <w:rFonts w:hint="eastAsia" w:ascii="宋体" w:cs="宋体"/>
                <w:color w:val="000000"/>
                <w:kern w:val="0"/>
                <w:sz w:val="22"/>
              </w:rPr>
              <w:t>年）</w:t>
            </w:r>
          </w:p>
        </w:tc>
        <w:tc>
          <w:tcPr>
            <w:tcW w:w="1200" w:type="dxa"/>
            <w:noWrap w:val="0"/>
            <w:vAlign w:val="center"/>
          </w:tcPr>
          <w:p>
            <w:pPr>
              <w:autoSpaceDE w:val="0"/>
              <w:autoSpaceDN w:val="0"/>
              <w:adjustRightInd w:val="0"/>
              <w:jc w:val="center"/>
              <w:rPr>
                <w:rFonts w:hint="eastAsia" w:ascii="宋体" w:eastAsia="宋体" w:cs="宋体"/>
                <w:color w:val="000000"/>
                <w:kern w:val="0"/>
                <w:sz w:val="22"/>
                <w:lang w:eastAsia="zh-CN"/>
              </w:rPr>
            </w:pPr>
            <w:r>
              <w:rPr>
                <w:rFonts w:ascii="宋体" w:cs="宋体"/>
                <w:color w:val="000000"/>
                <w:kern w:val="0"/>
                <w:sz w:val="22"/>
              </w:rPr>
              <w:t>0.</w:t>
            </w:r>
            <w:r>
              <w:rPr>
                <w:rFonts w:hint="eastAsia" w:ascii="宋体" w:cs="宋体"/>
                <w:color w:val="000000"/>
                <w:kern w:val="0"/>
                <w:sz w:val="22"/>
                <w:lang w:val="en-US" w:eastAsia="zh-CN"/>
              </w:rPr>
              <w:t>2</w:t>
            </w:r>
            <w:r>
              <w:rPr>
                <w:rFonts w:hint="eastAsia" w:ascii="宋体" w:cs="宋体"/>
                <w:color w:val="000000"/>
                <w:kern w:val="0"/>
                <w:sz w:val="22"/>
              </w:rPr>
              <w:t>～</w:t>
            </w:r>
            <w:r>
              <w:rPr>
                <w:rFonts w:hint="eastAsia" w:ascii="宋体" w:cs="宋体"/>
                <w:color w:val="000000"/>
                <w:kern w:val="0"/>
                <w:sz w:val="22"/>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31" w:hRule="atLeast"/>
        </w:trPr>
        <w:tc>
          <w:tcPr>
            <w:tcW w:w="1023" w:type="dxa"/>
            <w:vMerge w:val="continue"/>
            <w:noWrap w:val="0"/>
            <w:vAlign w:val="center"/>
          </w:tcPr>
          <w:p>
            <w:pPr>
              <w:autoSpaceDE w:val="0"/>
              <w:autoSpaceDN w:val="0"/>
              <w:adjustRightInd w:val="0"/>
              <w:rPr>
                <w:rFonts w:ascii="宋体" w:cs="宋体"/>
                <w:color w:val="000000"/>
                <w:kern w:val="0"/>
                <w:sz w:val="22"/>
              </w:rPr>
            </w:pPr>
          </w:p>
        </w:tc>
        <w:tc>
          <w:tcPr>
            <w:tcW w:w="1079" w:type="dxa"/>
            <w:vMerge w:val="continue"/>
            <w:noWrap w:val="0"/>
            <w:vAlign w:val="center"/>
          </w:tcPr>
          <w:p>
            <w:pPr>
              <w:autoSpaceDE w:val="0"/>
              <w:autoSpaceDN w:val="0"/>
              <w:adjustRightInd w:val="0"/>
              <w:rPr>
                <w:rFonts w:ascii="宋体" w:cs="宋体"/>
                <w:color w:val="000000"/>
                <w:kern w:val="0"/>
                <w:sz w:val="22"/>
              </w:rPr>
            </w:pPr>
          </w:p>
        </w:tc>
        <w:tc>
          <w:tcPr>
            <w:tcW w:w="1625" w:type="dxa"/>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忠诚度</w:t>
            </w:r>
            <w:r>
              <w:rPr>
                <w:rFonts w:ascii="宋体" w:cs="宋体"/>
                <w:color w:val="000000"/>
                <w:kern w:val="0"/>
                <w:sz w:val="22"/>
              </w:rPr>
              <w:t>C</w:t>
            </w:r>
          </w:p>
        </w:tc>
        <w:tc>
          <w:tcPr>
            <w:tcW w:w="1450" w:type="dxa"/>
            <w:noWrap w:val="0"/>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[3</w:t>
            </w:r>
            <w:r>
              <w:rPr>
                <w:rFonts w:hint="eastAsia" w:ascii="宋体" w:cs="宋体"/>
                <w:color w:val="000000"/>
                <w:kern w:val="0"/>
                <w:sz w:val="22"/>
              </w:rPr>
              <w:t>年</w:t>
            </w:r>
            <w:r>
              <w:rPr>
                <w:rFonts w:ascii="宋体" w:cs="宋体"/>
                <w:color w:val="000000"/>
                <w:kern w:val="0"/>
                <w:sz w:val="22"/>
              </w:rPr>
              <w:t>,5</w:t>
            </w:r>
            <w:r>
              <w:rPr>
                <w:rFonts w:hint="eastAsia" w:ascii="宋体" w:cs="宋体"/>
                <w:color w:val="000000"/>
                <w:kern w:val="0"/>
                <w:sz w:val="22"/>
              </w:rPr>
              <w:t>年）</w:t>
            </w:r>
          </w:p>
        </w:tc>
        <w:tc>
          <w:tcPr>
            <w:tcW w:w="1200" w:type="dxa"/>
            <w:noWrap w:val="0"/>
            <w:vAlign w:val="center"/>
          </w:tcPr>
          <w:p>
            <w:pPr>
              <w:autoSpaceDE w:val="0"/>
              <w:autoSpaceDN w:val="0"/>
              <w:adjustRightInd w:val="0"/>
              <w:jc w:val="center"/>
              <w:rPr>
                <w:rFonts w:hint="eastAsia" w:ascii="宋体" w:eastAsia="宋体" w:cs="宋体"/>
                <w:color w:val="000000"/>
                <w:kern w:val="0"/>
                <w:sz w:val="22"/>
                <w:lang w:eastAsia="zh-CN"/>
              </w:rPr>
            </w:pPr>
            <w:r>
              <w:rPr>
                <w:rFonts w:hint="eastAsia" w:ascii="宋体" w:cs="宋体"/>
                <w:color w:val="000000"/>
                <w:kern w:val="0"/>
                <w:sz w:val="22"/>
              </w:rPr>
              <w:t>0.</w:t>
            </w:r>
            <w:r>
              <w:rPr>
                <w:rFonts w:hint="eastAsia" w:ascii="宋体" w:cs="宋体"/>
                <w:color w:val="000000"/>
                <w:kern w:val="0"/>
                <w:sz w:val="22"/>
                <w:lang w:val="en-US" w:eastAsia="zh-CN"/>
              </w:rPr>
              <w:t>2</w:t>
            </w:r>
            <w:r>
              <w:rPr>
                <w:rFonts w:hint="eastAsia" w:ascii="宋体" w:cs="宋体"/>
                <w:color w:val="000000"/>
                <w:kern w:val="0"/>
                <w:sz w:val="22"/>
              </w:rPr>
              <w:t>～</w:t>
            </w:r>
            <w:r>
              <w:rPr>
                <w:rFonts w:hint="eastAsia" w:ascii="宋体" w:cs="宋体"/>
                <w:color w:val="000000"/>
                <w:kern w:val="0"/>
                <w:sz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31" w:hRule="atLeast"/>
        </w:trPr>
        <w:tc>
          <w:tcPr>
            <w:tcW w:w="1023" w:type="dxa"/>
            <w:vMerge w:val="continue"/>
            <w:noWrap w:val="0"/>
            <w:vAlign w:val="center"/>
          </w:tcPr>
          <w:p>
            <w:pPr>
              <w:autoSpaceDE w:val="0"/>
              <w:autoSpaceDN w:val="0"/>
              <w:adjustRightInd w:val="0"/>
              <w:rPr>
                <w:rFonts w:ascii="宋体" w:cs="宋体"/>
                <w:color w:val="000000"/>
                <w:kern w:val="0"/>
                <w:sz w:val="22"/>
              </w:rPr>
            </w:pPr>
          </w:p>
        </w:tc>
        <w:tc>
          <w:tcPr>
            <w:tcW w:w="1079" w:type="dxa"/>
            <w:vMerge w:val="continue"/>
            <w:noWrap w:val="0"/>
            <w:vAlign w:val="center"/>
          </w:tcPr>
          <w:p>
            <w:pPr>
              <w:autoSpaceDE w:val="0"/>
              <w:autoSpaceDN w:val="0"/>
              <w:adjustRightInd w:val="0"/>
              <w:rPr>
                <w:rFonts w:ascii="宋体" w:cs="宋体"/>
                <w:color w:val="000000"/>
                <w:kern w:val="0"/>
                <w:sz w:val="22"/>
              </w:rPr>
            </w:pPr>
          </w:p>
        </w:tc>
        <w:tc>
          <w:tcPr>
            <w:tcW w:w="1625" w:type="dxa"/>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忠诚度</w:t>
            </w:r>
            <w:r>
              <w:rPr>
                <w:rFonts w:ascii="宋体" w:cs="宋体"/>
                <w:color w:val="000000"/>
                <w:kern w:val="0"/>
                <w:sz w:val="22"/>
              </w:rPr>
              <w:t>D</w:t>
            </w:r>
          </w:p>
        </w:tc>
        <w:tc>
          <w:tcPr>
            <w:tcW w:w="1450" w:type="dxa"/>
            <w:noWrap w:val="0"/>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[0,3</w:t>
            </w:r>
            <w:r>
              <w:rPr>
                <w:rFonts w:hint="eastAsia" w:ascii="宋体" w:cs="宋体"/>
                <w:color w:val="000000"/>
                <w:kern w:val="0"/>
                <w:sz w:val="22"/>
              </w:rPr>
              <w:t>年）</w:t>
            </w:r>
          </w:p>
        </w:tc>
        <w:tc>
          <w:tcPr>
            <w:tcW w:w="1200" w:type="dxa"/>
            <w:noWrap w:val="0"/>
            <w:vAlign w:val="center"/>
          </w:tcPr>
          <w:p>
            <w:pPr>
              <w:autoSpaceDE w:val="0"/>
              <w:autoSpaceDN w:val="0"/>
              <w:adjustRightInd w:val="0"/>
              <w:jc w:val="center"/>
              <w:rPr>
                <w:rFonts w:hint="default" w:ascii="宋体" w:eastAsia="宋体" w:cs="宋体"/>
                <w:color w:val="000000"/>
                <w:kern w:val="0"/>
                <w:sz w:val="22"/>
                <w:lang w:val="en-US" w:eastAsia="zh-CN"/>
              </w:rPr>
            </w:pPr>
            <w:r>
              <w:rPr>
                <w:rFonts w:hint="eastAsia" w:ascii="宋体" w:cs="宋体"/>
                <w:color w:val="000000"/>
                <w:kern w:val="0"/>
                <w:sz w:val="22"/>
                <w:lang w:val="en-US" w:eastAsia="zh-CN"/>
              </w:rPr>
              <w:t>0.2</w:t>
            </w:r>
            <w:r>
              <w:rPr>
                <w:rFonts w:hint="eastAsia" w:ascii="宋体" w:cs="宋体"/>
                <w:color w:val="000000"/>
                <w:kern w:val="0"/>
                <w:sz w:val="22"/>
              </w:rPr>
              <w:t>～</w:t>
            </w:r>
            <w:r>
              <w:rPr>
                <w:rFonts w:hint="eastAsia" w:ascii="宋体" w:cs="宋体"/>
                <w:color w:val="000000"/>
                <w:kern w:val="0"/>
                <w:sz w:val="2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42" w:hRule="atLeast"/>
        </w:trPr>
        <w:tc>
          <w:tcPr>
            <w:tcW w:w="1023" w:type="dxa"/>
            <w:vMerge w:val="continue"/>
            <w:noWrap w:val="0"/>
            <w:vAlign w:val="center"/>
          </w:tcPr>
          <w:p>
            <w:pPr>
              <w:autoSpaceDE w:val="0"/>
              <w:autoSpaceDN w:val="0"/>
              <w:adjustRightInd w:val="0"/>
              <w:rPr>
                <w:rFonts w:ascii="宋体" w:cs="宋体"/>
                <w:color w:val="000000"/>
                <w:kern w:val="0"/>
                <w:sz w:val="22"/>
              </w:rPr>
            </w:pPr>
          </w:p>
        </w:tc>
        <w:tc>
          <w:tcPr>
            <w:tcW w:w="1079" w:type="dxa"/>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地域调整系数</w:t>
            </w:r>
          </w:p>
        </w:tc>
        <w:tc>
          <w:tcPr>
            <w:tcW w:w="1625" w:type="dxa"/>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根据住所地证券业协会自律公约进行调整。</w:t>
            </w:r>
          </w:p>
        </w:tc>
        <w:tc>
          <w:tcPr>
            <w:tcW w:w="2650" w:type="dxa"/>
            <w:gridSpan w:val="2"/>
            <w:noWrap w:val="0"/>
            <w:vAlign w:val="center"/>
          </w:tcPr>
          <w:p>
            <w:pPr>
              <w:autoSpaceDE w:val="0"/>
              <w:autoSpaceDN w:val="0"/>
              <w:adjustRightInd w:val="0"/>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841" w:hRule="atLeast"/>
        </w:trPr>
        <w:tc>
          <w:tcPr>
            <w:tcW w:w="1023" w:type="dxa"/>
            <w:vMerge w:val="restart"/>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综合佣金率</w:t>
            </w:r>
          </w:p>
        </w:tc>
        <w:tc>
          <w:tcPr>
            <w:tcW w:w="1079" w:type="dxa"/>
            <w:noWrap w:val="0"/>
            <w:vAlign w:val="center"/>
          </w:tcPr>
          <w:p>
            <w:pPr>
              <w:autoSpaceDE w:val="0"/>
              <w:autoSpaceDN w:val="0"/>
              <w:adjustRightInd w:val="0"/>
              <w:rPr>
                <w:rFonts w:ascii="宋体" w:cs="宋体"/>
                <w:color w:val="000000"/>
                <w:kern w:val="0"/>
                <w:sz w:val="22"/>
              </w:rPr>
            </w:pPr>
            <w:r>
              <w:rPr>
                <w:rFonts w:hint="eastAsia" w:ascii="宋体" w:cs="宋体"/>
                <w:color w:val="000000"/>
                <w:kern w:val="0"/>
                <w:sz w:val="22"/>
              </w:rPr>
              <w:t>投资顾问服务费用</w:t>
            </w:r>
          </w:p>
        </w:tc>
        <w:tc>
          <w:tcPr>
            <w:tcW w:w="4275" w:type="dxa"/>
            <w:gridSpan w:val="3"/>
            <w:noWrap w:val="0"/>
            <w:vAlign w:val="center"/>
          </w:tcPr>
          <w:p>
            <w:pPr>
              <w:autoSpaceDE w:val="0"/>
              <w:autoSpaceDN w:val="0"/>
              <w:adjustRightInd w:val="0"/>
              <w:rPr>
                <w:rFonts w:hint="eastAsia" w:ascii="宋体" w:cs="宋体"/>
                <w:color w:val="000000"/>
                <w:kern w:val="0"/>
                <w:sz w:val="22"/>
              </w:rPr>
            </w:pPr>
            <w:r>
              <w:rPr>
                <w:rFonts w:hint="eastAsia" w:ascii="宋体" w:cs="宋体"/>
                <w:color w:val="000000"/>
                <w:kern w:val="0"/>
                <w:sz w:val="22"/>
              </w:rPr>
              <w:t>投资顾问服务费用按照客户与海通证券签署的投资顾问服务协议约定收取。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70" w:hRule="atLeast"/>
        </w:trPr>
        <w:tc>
          <w:tcPr>
            <w:tcW w:w="1023" w:type="dxa"/>
            <w:vMerge w:val="continue"/>
            <w:noWrap w:val="0"/>
            <w:vAlign w:val="center"/>
          </w:tcPr>
          <w:p>
            <w:pPr>
              <w:autoSpaceDE w:val="0"/>
              <w:autoSpaceDN w:val="0"/>
              <w:adjustRightInd w:val="0"/>
              <w:rPr>
                <w:rFonts w:hint="eastAsia" w:ascii="宋体" w:cs="宋体"/>
                <w:color w:val="000000"/>
                <w:kern w:val="0"/>
                <w:sz w:val="22"/>
              </w:rPr>
            </w:pPr>
          </w:p>
        </w:tc>
        <w:tc>
          <w:tcPr>
            <w:tcW w:w="1079" w:type="dxa"/>
            <w:noWrap w:val="0"/>
            <w:vAlign w:val="center"/>
          </w:tcPr>
          <w:p>
            <w:pPr>
              <w:autoSpaceDE w:val="0"/>
              <w:autoSpaceDN w:val="0"/>
              <w:adjustRightInd w:val="0"/>
              <w:rPr>
                <w:rFonts w:hint="eastAsia" w:ascii="宋体" w:cs="宋体"/>
                <w:kern w:val="0"/>
                <w:sz w:val="22"/>
              </w:rPr>
            </w:pPr>
            <w:r>
              <w:rPr>
                <w:rFonts w:hint="eastAsia" w:ascii="宋体" w:cs="宋体"/>
                <w:kern w:val="0"/>
                <w:sz w:val="22"/>
              </w:rPr>
              <w:t>其他费用</w:t>
            </w:r>
          </w:p>
        </w:tc>
        <w:tc>
          <w:tcPr>
            <w:tcW w:w="4275" w:type="dxa"/>
            <w:gridSpan w:val="3"/>
            <w:noWrap w:val="0"/>
            <w:vAlign w:val="center"/>
          </w:tcPr>
          <w:p>
            <w:pPr>
              <w:autoSpaceDE w:val="0"/>
              <w:autoSpaceDN w:val="0"/>
              <w:adjustRightInd w:val="0"/>
              <w:rPr>
                <w:rFonts w:hint="eastAsia" w:ascii="宋体" w:cs="宋体"/>
                <w:kern w:val="0"/>
                <w:sz w:val="22"/>
              </w:rPr>
            </w:pPr>
            <w:r>
              <w:rPr>
                <w:rFonts w:hint="eastAsia" w:ascii="宋体" w:cs="宋体"/>
                <w:kern w:val="0"/>
                <w:sz w:val="22"/>
              </w:rPr>
              <w:t>除投资顾问服务协议约定外的其他服务价格，包括基础服务、资讯服务、咨询服务和增值服务等服务项目。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70" w:hRule="atLeast"/>
        </w:trPr>
        <w:tc>
          <w:tcPr>
            <w:tcW w:w="1023" w:type="dxa"/>
            <w:noWrap w:val="0"/>
            <w:vAlign w:val="center"/>
          </w:tcPr>
          <w:p>
            <w:pPr>
              <w:autoSpaceDE w:val="0"/>
              <w:autoSpaceDN w:val="0"/>
              <w:adjustRightInd w:val="0"/>
              <w:rPr>
                <w:rFonts w:hint="default" w:ascii="宋体" w:eastAsia="宋体" w:cs="宋体"/>
                <w:color w:val="000000"/>
                <w:kern w:val="0"/>
                <w:sz w:val="22"/>
                <w:lang w:val="en-US" w:eastAsia="zh-CN"/>
              </w:rPr>
            </w:pPr>
            <w:r>
              <w:rPr>
                <w:rFonts w:hint="eastAsia" w:ascii="宋体" w:cs="宋体"/>
                <w:color w:val="000000"/>
                <w:kern w:val="0"/>
                <w:sz w:val="22"/>
                <w:lang w:val="en-US" w:eastAsia="zh-CN"/>
              </w:rPr>
              <w:t>创新业务</w:t>
            </w:r>
          </w:p>
        </w:tc>
        <w:tc>
          <w:tcPr>
            <w:tcW w:w="1079" w:type="dxa"/>
            <w:noWrap w:val="0"/>
            <w:vAlign w:val="center"/>
          </w:tcPr>
          <w:p>
            <w:pPr>
              <w:autoSpaceDE w:val="0"/>
              <w:autoSpaceDN w:val="0"/>
              <w:adjustRightInd w:val="0"/>
              <w:rPr>
                <w:rFonts w:hint="default" w:ascii="宋体" w:eastAsia="宋体" w:cs="宋体"/>
                <w:kern w:val="0"/>
                <w:sz w:val="22"/>
                <w:lang w:val="en-US" w:eastAsia="zh-CN"/>
              </w:rPr>
            </w:pPr>
            <w:r>
              <w:rPr>
                <w:rFonts w:hint="eastAsia" w:ascii="宋体" w:cs="宋体"/>
                <w:kern w:val="0"/>
                <w:sz w:val="22"/>
                <w:lang w:val="en-US" w:eastAsia="zh-CN"/>
              </w:rPr>
              <w:t>北交所/新三板</w:t>
            </w:r>
          </w:p>
        </w:tc>
        <w:tc>
          <w:tcPr>
            <w:tcW w:w="4275" w:type="dxa"/>
            <w:gridSpan w:val="3"/>
            <w:noWrap w:val="0"/>
            <w:vAlign w:val="center"/>
          </w:tcPr>
          <w:p>
            <w:pPr>
              <w:autoSpaceDE w:val="0"/>
              <w:autoSpaceDN w:val="0"/>
              <w:adjustRightInd w:val="0"/>
              <w:rPr>
                <w:rFonts w:hint="default" w:ascii="宋体" w:eastAsia="微软雅黑" w:cs="宋体"/>
                <w:kern w:val="0"/>
                <w:sz w:val="22"/>
                <w:lang w:val="en-US" w:eastAsia="zh-CN"/>
              </w:rPr>
            </w:pPr>
            <w:r>
              <w:rPr>
                <w:rFonts w:hint="eastAsia" w:ascii="宋体" w:cs="宋体"/>
                <w:color w:val="000000"/>
                <w:kern w:val="0"/>
                <w:sz w:val="22"/>
              </w:rPr>
              <w:t>北交所股票交易费用与新三板挂牌公司股票交易费用一致</w:t>
            </w:r>
            <w:r>
              <w:rPr>
                <w:rFonts w:hint="eastAsia" w:ascii="宋体" w:cs="宋体"/>
                <w:color w:val="000000"/>
                <w:kern w:val="0"/>
                <w:sz w:val="22"/>
                <w:lang w:eastAsia="zh-CN"/>
              </w:rPr>
              <w:t>，</w:t>
            </w:r>
            <w:r>
              <w:rPr>
                <w:rFonts w:hint="eastAsia" w:ascii="宋体" w:cs="宋体"/>
                <w:color w:val="000000"/>
                <w:kern w:val="0"/>
                <w:sz w:val="22"/>
                <w:lang w:val="en-US" w:eastAsia="zh-CN"/>
              </w:rPr>
              <w:t>客户组别低于0.8‰的均按</w:t>
            </w:r>
            <w:bookmarkStart w:id="0" w:name="_GoBack"/>
            <w:bookmarkEnd w:id="0"/>
            <w:r>
              <w:rPr>
                <w:rFonts w:hint="eastAsia" w:ascii="宋体" w:cs="宋体"/>
                <w:color w:val="000000"/>
                <w:kern w:val="0"/>
                <w:sz w:val="22"/>
                <w:lang w:val="en-US" w:eastAsia="zh-CN"/>
              </w:rPr>
              <w:t>0.8‰收取，最高不超过</w:t>
            </w:r>
            <w:r>
              <w:rPr>
                <w:rFonts w:hint="eastAsia" w:ascii="宋体" w:cs="宋体"/>
                <w:color w:val="000000"/>
                <w:kern w:val="0"/>
                <w:sz w:val="22"/>
              </w:rPr>
              <w:t>成交金额的1.5‰收取</w:t>
            </w:r>
            <w:r>
              <w:rPr>
                <w:rFonts w:hint="eastAsia" w:ascii="宋体" w:cs="宋体"/>
                <w:color w:val="000000"/>
                <w:kern w:val="0"/>
                <w:sz w:val="22"/>
                <w:lang w:eastAsia="zh-CN"/>
              </w:rPr>
              <w:t>，</w:t>
            </w:r>
            <w:r>
              <w:rPr>
                <w:rFonts w:hint="eastAsia" w:ascii="宋体" w:cs="宋体"/>
                <w:color w:val="000000"/>
                <w:kern w:val="0"/>
                <w:sz w:val="22"/>
                <w:lang w:val="en-US" w:eastAsia="zh-CN"/>
              </w:rPr>
              <w:t>如有单独约定的按单独约定执行，佣金设置不得低于监管及营业部成本费用。</w:t>
            </w:r>
          </w:p>
        </w:tc>
      </w:tr>
    </w:tbl>
    <w:p>
      <w:pPr>
        <w:jc w:val="left"/>
        <w:rPr>
          <w:rFonts w:ascii="宋体" w:hAnsi="宋体"/>
          <w:szCs w:val="21"/>
        </w:rPr>
      </w:pPr>
      <w:r>
        <w:rPr>
          <w:rFonts w:hint="eastAsia" w:ascii="宋体" w:hAnsi="宋体"/>
          <w:szCs w:val="21"/>
        </w:rPr>
        <w:t>注：a&gt;交易佣金率上限不能高于千分之三</w:t>
      </w:r>
      <w:r>
        <w:rPr>
          <w:rFonts w:hint="eastAsia" w:ascii="宋体" w:hAnsi="宋体"/>
          <w:szCs w:val="21"/>
          <w:lang w:eastAsia="zh-CN"/>
        </w:rPr>
        <w:t>，</w:t>
      </w:r>
      <w:r>
        <w:rPr>
          <w:rFonts w:hint="eastAsia" w:ascii="宋体" w:hAnsi="宋体"/>
          <w:szCs w:val="21"/>
          <w:lang w:val="en-US" w:eastAsia="zh-CN"/>
        </w:rPr>
        <w:t>具体佣金率与实际约定为准</w:t>
      </w:r>
      <w:r>
        <w:rPr>
          <w:rFonts w:hint="eastAsia" w:ascii="宋体" w:hAnsi="宋体"/>
          <w:szCs w:val="21"/>
        </w:rPr>
        <w:t>；</w:t>
      </w:r>
    </w:p>
    <w:p>
      <w:pPr>
        <w:ind w:firstLine="420" w:firstLineChars="200"/>
        <w:jc w:val="left"/>
        <w:rPr>
          <w:rFonts w:hint="eastAsia" w:ascii="宋体" w:hAnsi="宋体"/>
          <w:szCs w:val="21"/>
          <w:lang w:eastAsia="zh-CN"/>
        </w:rPr>
      </w:pPr>
      <w:r>
        <w:rPr>
          <w:rFonts w:hint="eastAsia" w:ascii="宋体" w:hAnsi="宋体"/>
          <w:szCs w:val="21"/>
        </w:rPr>
        <w:t>b&gt;全成本佣金率由营业部根据行业标准公示及实际运营数据计算</w:t>
      </w:r>
      <w:r>
        <w:rPr>
          <w:rFonts w:hint="eastAsia" w:ascii="宋体" w:hAnsi="宋体"/>
          <w:szCs w:val="21"/>
          <w:lang w:eastAsia="zh-CN"/>
        </w:rPr>
        <w:t>；</w:t>
      </w:r>
    </w:p>
    <w:p>
      <w:pPr>
        <w:ind w:firstLine="420" w:firstLineChars="200"/>
        <w:jc w:val="left"/>
        <w:rPr>
          <w:rFonts w:hint="eastAsia" w:ascii="宋体" w:hAnsi="宋体"/>
          <w:szCs w:val="21"/>
        </w:rPr>
      </w:pPr>
      <w:r>
        <w:rPr>
          <w:rFonts w:hint="eastAsia" w:ascii="宋体" w:hAnsi="宋体"/>
          <w:szCs w:val="21"/>
        </w:rPr>
        <w:t>c&gt;</w:t>
      </w:r>
      <w:r>
        <w:t>资产是指</w:t>
      </w:r>
      <w:r>
        <w:rPr>
          <w:rFonts w:hint="eastAsia"/>
          <w:lang w:val="en-US" w:eastAsia="zh-CN"/>
        </w:rPr>
        <w:t>客户账户</w:t>
      </w:r>
      <w:r>
        <w:t>资产</w:t>
      </w:r>
      <w:r>
        <w:rPr>
          <w:rFonts w:hint="eastAsia"/>
          <w:lang w:eastAsia="zh-CN"/>
        </w:rPr>
        <w:t>（</w:t>
      </w:r>
      <w:r>
        <w:rPr>
          <w:rFonts w:hint="eastAsia"/>
          <w:lang w:val="en-US" w:eastAsia="zh-CN"/>
        </w:rPr>
        <w:t>不含融资</w:t>
      </w:r>
      <w:r>
        <w:rPr>
          <w:rFonts w:hint="eastAsia"/>
          <w:lang w:eastAsia="zh-CN"/>
        </w:rPr>
        <w:t>）</w:t>
      </w:r>
      <w:r>
        <w:rPr>
          <w:rFonts w:hint="eastAsia"/>
        </w:rPr>
        <w:t>；</w:t>
      </w:r>
    </w:p>
    <w:p>
      <w:pPr>
        <w:ind w:firstLine="420"/>
        <w:jc w:val="left"/>
        <w:rPr>
          <w:rFonts w:hint="eastAsia" w:ascii="宋体" w:hAnsi="宋体"/>
          <w:szCs w:val="21"/>
        </w:rPr>
      </w:pPr>
      <w:r>
        <w:rPr>
          <w:rFonts w:hint="eastAsia" w:ascii="宋体" w:hAnsi="宋体"/>
          <w:szCs w:val="21"/>
        </w:rPr>
        <w:t>d&gt;辖区证券业协会出台自律性佣金标准，按辖区自律佣金标准执行。</w:t>
      </w:r>
    </w:p>
    <w:p>
      <w:pPr>
        <w:ind w:firstLine="420"/>
        <w:jc w:val="left"/>
        <w:rPr>
          <w:rFonts w:hint="default" w:ascii="宋体" w:hAnsi="宋体"/>
          <w:szCs w:val="21"/>
          <w:lang w:val="en-US" w:eastAsia="zh-CN"/>
        </w:rPr>
      </w:pPr>
    </w:p>
    <w:p>
      <w:pPr>
        <w:ind w:firstLine="420"/>
        <w:jc w:val="left"/>
        <w:rPr>
          <w:rFonts w:ascii="宋体" w:hAnsi="宋体"/>
          <w:szCs w:val="21"/>
        </w:rPr>
      </w:pPr>
    </w:p>
    <w:p>
      <w:pPr>
        <w:spacing w:before="156" w:beforeLines="50" w:after="156" w:afterLines="50"/>
        <w:ind w:firstLine="540" w:firstLineChars="224"/>
        <w:jc w:val="left"/>
        <w:rPr>
          <w:rFonts w:ascii="宋体" w:hAnsi="宋体"/>
          <w:b/>
          <w:sz w:val="24"/>
          <w:szCs w:val="28"/>
        </w:rPr>
      </w:pPr>
      <w:r>
        <w:rPr>
          <w:rFonts w:hint="eastAsia" w:ascii="宋体" w:hAnsi="宋体"/>
          <w:b/>
          <w:sz w:val="24"/>
          <w:szCs w:val="28"/>
        </w:rPr>
        <w:t>二、佣金收取方式</w:t>
      </w:r>
    </w:p>
    <w:p>
      <w:pPr>
        <w:spacing w:line="360" w:lineRule="auto"/>
        <w:ind w:firstLine="540" w:firstLineChars="225"/>
        <w:rPr>
          <w:rFonts w:ascii="宋体" w:hAnsi="宋体"/>
          <w:sz w:val="24"/>
          <w:szCs w:val="24"/>
        </w:rPr>
      </w:pPr>
      <w:r>
        <w:rPr>
          <w:rFonts w:hint="eastAsia" w:ascii="宋体" w:hAnsi="宋体"/>
          <w:sz w:val="24"/>
          <w:szCs w:val="24"/>
        </w:rPr>
        <w:t>我部按照有关法律、法规、规章、证券登记结算机构业务规则以及证券交易所交易规则的相关规定，直接向客户收取佣金。</w:t>
      </w:r>
    </w:p>
    <w:p>
      <w:pPr>
        <w:spacing w:before="156" w:beforeLines="50" w:line="360" w:lineRule="auto"/>
        <w:ind w:firstLine="540" w:firstLineChars="225"/>
        <w:rPr>
          <w:rFonts w:hint="eastAsia" w:ascii="宋体" w:hAnsi="宋体"/>
          <w:sz w:val="24"/>
          <w:szCs w:val="24"/>
        </w:rPr>
      </w:pPr>
      <w:r>
        <w:rPr>
          <w:rFonts w:hint="eastAsia" w:ascii="宋体" w:hAnsi="宋体"/>
          <w:sz w:val="24"/>
          <w:szCs w:val="24"/>
        </w:rPr>
        <w:t>根据法律、法规、规章、业务规则等调整客户佣金收取标准及收取方式，我部将在调整前通过营业部场所张贴、网上交易系统以及电话委托系统明示或提醒、印制相关客户服务手册等方式进行公示。</w:t>
      </w:r>
    </w:p>
    <w:p>
      <w:pPr>
        <w:spacing w:before="156" w:beforeLines="50" w:line="360" w:lineRule="auto"/>
        <w:ind w:firstLine="540" w:firstLineChars="225"/>
        <w:rPr>
          <w:rFonts w:hint="eastAsia" w:ascii="宋体" w:hAnsi="宋体"/>
          <w:sz w:val="24"/>
          <w:szCs w:val="24"/>
        </w:rPr>
      </w:pPr>
      <w:r>
        <w:rPr>
          <w:rFonts w:hint="eastAsia" w:ascii="宋体" w:hAnsi="宋体"/>
          <w:sz w:val="24"/>
          <w:szCs w:val="24"/>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270510</wp:posOffset>
                </wp:positionV>
                <wp:extent cx="594360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943600" cy="0"/>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w:pict>
              <v:shape id="_x0000_s1026" o:spid="_x0000_s1026" o:spt="32" type="#_x0000_t32" style="position:absolute;left:0pt;margin-left:-33pt;margin-top:21.3pt;height:0pt;width:468pt;z-index:251659264;mso-width-relative:page;mso-height-relative:page;" filled="f" stroked="t" coordsize="21600,21600" o:gfxdata="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ZCstJ1wAAAAkB&#10;AAAPAAAAAAAAAAEAIAAAACIAAABkcnMvZG93bnJldi54bWxQSwECFAAUAAAACACHTuJA1G0ZzOMB&#10;AACdAwAADgAAAAAAAAABACAAAAAmAQAAZHJzL2Uyb0RvYy54bWxQSwUGAAAAAAYABgBZAQAAewUA&#10;AAAA&#10;">
                <v:fill on="f" focussize="0,0"/>
                <v:stroke color="#000000" joinstyle="round" dashstyle="dash"/>
                <v:imagedata o:title=""/>
                <o:lock v:ext="edit" aspectratio="f"/>
              </v:shape>
            </w:pict>
          </mc:Fallback>
        </mc:AlternateContent>
      </w:r>
    </w:p>
    <w:p>
      <w:pPr>
        <w:spacing w:line="360" w:lineRule="auto"/>
        <w:ind w:right="420"/>
        <w:rPr>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655C1"/>
    <w:rsid w:val="02F93F78"/>
    <w:rsid w:val="0D1B7D3E"/>
    <w:rsid w:val="17CB6409"/>
    <w:rsid w:val="1C433A7B"/>
    <w:rsid w:val="1DD55F40"/>
    <w:rsid w:val="1FAF6685"/>
    <w:rsid w:val="211E76D6"/>
    <w:rsid w:val="280D6BCD"/>
    <w:rsid w:val="28DD7BDC"/>
    <w:rsid w:val="29684EA6"/>
    <w:rsid w:val="2B694E6B"/>
    <w:rsid w:val="2C5014CC"/>
    <w:rsid w:val="2EC93C9F"/>
    <w:rsid w:val="32267711"/>
    <w:rsid w:val="40671073"/>
    <w:rsid w:val="4E210219"/>
    <w:rsid w:val="4FB841B2"/>
    <w:rsid w:val="51E36612"/>
    <w:rsid w:val="584048B1"/>
    <w:rsid w:val="5BEE49C0"/>
    <w:rsid w:val="63B10647"/>
    <w:rsid w:val="68FB233B"/>
    <w:rsid w:val="6AA97884"/>
    <w:rsid w:val="7B7D69EA"/>
    <w:rsid w:val="7D2820F9"/>
    <w:rsid w:val="7FD33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2021-12-16T05:39:00Z</dcterms:created>
  <dc:creator>JC</dc:creator>
  <cp:lastModifiedBy>JC</cp:lastModifiedBy>
  <dcterms:modified xsi:type="dcterms:W3CDTF">2022-12-12T07:56:35Z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