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vertAlign w:val="baseline"/>
        </w:rPr>
      </w:pPr>
      <w:r>
        <w:rPr>
          <w:rFonts w:hint="eastAsia"/>
          <w:b/>
          <w:bCs/>
          <w:sz w:val="28"/>
          <w:szCs w:val="28"/>
        </w:rPr>
        <w:t>4.文化建设制度机制清单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584"/>
        <w:gridCol w:w="4166"/>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lang w:val="en-US" w:eastAsia="zh-CN"/>
              </w:rPr>
            </w:pPr>
            <w:r>
              <w:rPr>
                <w:rFonts w:hint="eastAsia" w:ascii="等线" w:hAnsi="等线" w:eastAsia="等线" w:cs="等线"/>
                <w:b/>
                <w:bCs/>
                <w:sz w:val="24"/>
                <w:szCs w:val="24"/>
                <w:vertAlign w:val="baseline"/>
                <w:lang w:val="en-US" w:eastAsia="zh-CN"/>
              </w:rPr>
              <w:t>序号</w:t>
            </w:r>
          </w:p>
        </w:tc>
        <w:tc>
          <w:tcPr>
            <w:tcW w:w="2584"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制度/机制名称</w:t>
            </w:r>
          </w:p>
        </w:tc>
        <w:tc>
          <w:tcPr>
            <w:tcW w:w="4166"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文件概要</w:t>
            </w:r>
          </w:p>
        </w:tc>
        <w:tc>
          <w:tcPr>
            <w:tcW w:w="1044"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实施/修订日期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《海通证券股份有限公司关于进一步巩固推进证券行业文化建设的落实方案（2023~2025）》</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为持续推进“合规、诚信、专业、稳健”的行业文化建设，进一步塑造公司文化软实力，现根据中共中央办公厅、国务院办公厅印发的《“十四五”文化发展规划》、中国证监会、司法部、财政部《关于加强注册制下中介机构廉洁从业监管的意见》、中证协《证券行业文化建设十要素》和《进一步巩固推进证券行业文化建设工作安排》等上级精神和工作要求，紧密结合海通证券文化建设的实际特点，制定三个深化融合、一个持续强化的方案。</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《关于在公司系统大力践行证券行业荣辱观的行动计划》</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为深入学习贯彻习近平新时代中国特色社会主义思想和党的二十大精神，进一步提升公司文化“软实力”，不断强化从业人员道德水平建设，推动公司实现高质量发展，现根据中国证监会、中国证券业协会有关工作要求及倡议，制定5个加强、10项具体行动计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《海通证券落实行业文化建设2022年推进方案》</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为进一步将“合规、诚信、专业、稳健”的行业文化理念与深入贯彻“一个海通”理念相融合，经公司行业文化建设工作领导小组同意，制定了2022年五个全的文化建设推进方案</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海通证券企业文化手册</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搭建“海通家园”文化体系，公司主要领导写寄语，回顾发展历程，总结文化特质，提出“崇德守信 道正行远”企业价值观，和新的企业使命、企业愿景，海通共识，秉承经营理念和风险控制理念。</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default" w:ascii="等线" w:hAnsi="等线" w:eastAsia="等线" w:cs="等线"/>
                <w:i w:val="0"/>
                <w:color w:val="000000"/>
                <w:kern w:val="0"/>
                <w:sz w:val="22"/>
                <w:szCs w:val="22"/>
                <w:u w:val="none"/>
                <w:lang w:val="en-US" w:eastAsia="zh-CN" w:bidi="ar"/>
              </w:rPr>
              <w:t>《海通证券股份有限公司投资银行业务部门廉洁从业实施细则（试行）》</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提出投行业务人员廉洁从业基本要求，廉洁从业行为规范和从业管理要求</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default" w:ascii="等线" w:hAnsi="等线" w:eastAsia="等线" w:cs="等线"/>
                <w:i w:val="0"/>
                <w:color w:val="000000"/>
                <w:kern w:val="0"/>
                <w:sz w:val="22"/>
                <w:szCs w:val="22"/>
                <w:u w:val="none"/>
                <w:lang w:val="en-US" w:eastAsia="zh-CN" w:bidi="ar"/>
              </w:rPr>
              <w:t>海通证券股份有限公司关于进一步加强人才队伍建设的实施意见</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为进一步优化人才发展的机制与环境，激发人才队伍的活力与效能，造就一支专业过硬、素质优良、结构合理、充满活力的人才队伍，推动公司高质量发展，按照上级人才工作精神，根据公司打造国内一流、国际有影响力的中国标杆式投行的战略要求，以及公司“十四五”规划安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《海通证券文化建设配套制度和改进计划》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提出文化建设三步走</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2019.12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《海通证券股份有限公司章程》</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第十二条 公司在经营管理中坚持依法治企，强化廉洁从业管理目标，融合践行“合规、诚信、专业、稳健”的行业文化，以正确的价值观、风险观、发展观引领发展，提升服务，助力建设规范、透明、开放、有活力、有韧性的资本市场。</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第一百六十二条 董事会行使下列职权：（十九）决定公司的廉洁从业管理目标，对廉洁从业管理的有效性承担责任</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第二百二十一条 监事会向股东大会负责并行使下列职权：</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（五）对董事、高级管理人员履行合规管理和廉洁从业管理的职责的情况进行监督；</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《海通证券“十四五”规划》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明确文化建设为“十四五”规划八大任务之一，提出向大众持续传播海通一流的综合金融服务能力和品牌特色，</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《海通证券股份有限公司关于经营管理活动中防止各级管理人员利益冲突的实施办法》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规范公司各级管理人员从业行为，防止经营管理活动中发生利益冲突，促进各级管理人员正确履行职权，保障公司改革发展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《落实全面从严治党相关法规制度汇编 》</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增强一体推进“不敢腐、不能腐、不想腐”的政治自觉、思想自觉和行动自觉，落实“合规、诚信、专业、稳健”的行业文化理念，践行“务实、开拓、稳健、卓越”的企业文化，收集整理了与日常工作密切相关、指导性较强、贴近实际的落实全面从严治党法律法规、规范性文件及公司相关规章制度</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《公司党委前置研究讨论重大事项实施办法》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严格落实习近平总书记关于“把党组织研究讨论作为董事会、经理层决策重大问题.的前置程序”的重要指示要求，充分发挥公司党委领导作用公司党委前置研究讨论重大事项是落实“两个一以贯之”要求、把党的领导与公司治理统一起来的重要制度安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《海通证券股份有限公司党委前置研究事项清单》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进一步落实国有企业党委研究讨论“前置程序”要求，形成细化清单，明晰各治理主体权责范围。</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《关于深化落实全面从严治党加强党风廉政建设“四责协同”机制的实施办法》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党委主体责任是根本，纪委监督责任是保障，党委书记第一责任人责任是关键，班子成员“一岗双责”是支撑，“四个责任”主体要齐心协力、协同联动，，不断提高公司党风廉政建设的质量和水平。</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《海通证券股份有限公司落实意识形态工作责任制的责任清单（第2版）》</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全面贯彻落实《市国资委系统落实意识形态工作责任制的责任清单》（第3版）有关规定的基础上，结合实际，制定落实意识形态工作责任制的责任清单</w:t>
            </w:r>
          </w:p>
        </w:tc>
        <w:tc>
          <w:tcPr>
            <w:tcW w:w="1044" w:type="dxa"/>
          </w:tcPr>
          <w:p>
            <w:pPr>
              <w:keepNext w:val="0"/>
              <w:keepLines w:val="0"/>
              <w:pageBreakBefore w:val="0"/>
              <w:kinsoku/>
              <w:wordWrap/>
              <w:overflowPunct/>
              <w:topLinePunct w:val="0"/>
              <w:autoSpaceDE/>
              <w:autoSpaceDN/>
              <w:bidi w:val="0"/>
              <w:adjustRightInd/>
              <w:snapToGrid/>
              <w:jc w:val="both"/>
              <w:rPr>
                <w:rFonts w:hint="default" w:ascii="等线" w:hAnsi="等线" w:eastAsia="等线" w:cs="等线"/>
                <w:b/>
                <w:bCs/>
                <w:sz w:val="28"/>
                <w:szCs w:val="28"/>
                <w:vertAlign w:val="baseline"/>
                <w:lang w:val="en-US" w:eastAsia="zh-CN"/>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《海通证券股份有限公司全面风险管理办法（试行）》（2018年修订）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确定公司系统全面风险管理纲领性文件</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《海通证券股份有限公司子公司全面风险管理办法（2022修订版）》</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确定子公司全面风险管理的纲领性稳健</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《海通证券股份有限公司市场风险管理办法（试行）》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制定市场风险管理相关办法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《海通证券股份有限公司操作风险管理办法（试行）》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制定操作风险理相关办法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《海通证券股份有限公司（集团）市场风险管理办法》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制定（集团）市场风险管理相关办法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《海通证券股份有限公司（集团）操作风险管理办法》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制定（集团）操作风险管理相关办法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《海通证券股份有限公司同一业务风险管理办法（试行）》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制定同一业务风险管理相关办法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《海通证券股份有限公司内部控制制度》</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制定内部控制相关办法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《海通证券股份有限公司（集团）信用风险管理办法》（2020年修订）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制定信用风险管理相关办法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《海通证券股份有限公司同一客户风险管理办法（试行）》（2020年修订）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制定同一客户风险管理相关办法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《海通证券股份有限公司风险管理考核评价办法》（2022年修订）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制定风险管理考核评相关办法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27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《海通证券股份有限公司ESG风险管理办法（试行）》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制ESG风险管理相关办法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《海通证券股份有限公司廉洁从业管理办法（2022年修订）》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2023.1</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29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海通证券股份有限公司关于贯彻落实“法治建设第一责任人”有关规定的实施办法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贯彻落实习近平法治思想和党中央关于全面依法治国的重大决策部署，不断提高公司主要负责人的法治意识，进一步推动公司法治建设，保障公司深化改革、健康发展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海通证券股份有限公司信息隔离墙管理办法（2021年修订）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规范公司敏感信息管理，实现公司场所、人员、业务、信息的有效隔离，预防利益冲突和内幕交易的发生，</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关于进一步规范公司业务协同管理的通知</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进一步优化、规范协同业务模式，确保各部门及子公司（以下简称“公司各单位”）在依法合规、信息隔离、风险可控的前提下开展业务协同</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海通证券股份有限公司客户投诉管理办法（2022年修订）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制定客户投诉管理相关办法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《海通证券2021-2023创新发展三年行动规划》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制定创新发展3年行动计划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《关于成立公司推进创新使命责任工作领导小组的通知》</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成立公司推进创新使命责任工作领导小组</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《海通证券金融科技创新实验室研究课题管理办法（暂行）》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制定金融科技创新实验室研究相关办法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《海通证券股份有限公司新媒体管理办法》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制定新媒体管理相关办法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37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《海通证券股份有限公司声誉风险管理办法》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制定声誉风险管理相关办法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38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《海通证券股份有限公司证券从业人员执业资格管理办法》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规定公司全体从业人员均必须参加并通过协会举办的证券从业资格考试，取得证券执业资格证书；明确公司人员诚信信息管理机制，公司全体从业人员应严格对照《证券业从业人员执业行为准则》的要求规范自身执业行为。</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39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《海通证券股份有限公司薪酬管理总则》</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该总则规定建立以市场为导向，并适应公司发展的薪酬管理体系，明确了公司遵循的薪酬管理原则、薪酬管理的组织及薪酬总额管理等内容。</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《海通证券股份有限公司总部薪酬管理办法（》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规定公司总部薪酬管理遵循市场对标、绩效导向、动态调整、效率优化和薪酬保密等原则，明确了总部薪酬管理的组织与权责、薪酬定位与薪酬组成、固定薪酬的确定与调整、绩效薪酬的确定与分配等内容。</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《海通证券股份有限公司投资银行条线部门薪酬管理办法（试行）》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以进一步完善投资银行条线部门薪酬激励机制为出发点，结合投行业务特点，明确了投行条线部门薪酬构成、固定薪酬管理、效益工资分配、班子成员全薪上限、薪酬发放与管理等内容。按照投行业务内部控制要求，投行部门效益工资分三年递延发放。</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《海通证券股份有限公司绩效管理办法》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旨在构建公司科学的绩效管理体系，公司绩效管理遵循一致统一、客观公正、量化有限、公开透明、权责对等原则，考核指标涵盖廉洁从业、合规执业等要素，公正、客观地评价管理干部及员工的业绩达成情况和能力素质水平，并以此为基础促进管理干部及员工的个人职业发展。</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《海通证券股份有限公司干部管理办法（2021年修订）》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旨在加强公司干部管理的科学化、制度化、规范化，建立科学的选人用人机制，建设一支忠诚、干净、担当的高素质专业化干部队伍，实现公司高质量发展。内容涵盖干部任职条件、选拔任用、履职、交流管理、考核与约束、培养锻炼等，任职条件中明确规定干部人选需具有较高的政治素质、坚持依法合规经营，并具有良好的职业操守和个人品行。</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《海通证券股份有限公司干部选拔任用实施细则（2021年修订）》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细则是公司《干部管理办法》的细化规定，细则将德才兼备、勤勉敬业、业绩优良、遵纪合规作为选拔干部的基本要求。明确要求干部人选须遵守党纪、国家法律法规及公司各项制度规定，具有良好的执业操守，无违纪违规行为。</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《海通证券股份有限公司人力资源管理办法》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是公司人力资源管理的框架性制度，公司人力资源管理工作的核心和意义是体现“以人为本”的管理理念。公司贯彻执行“公开、公平、公正”的用人原则，利用用人自主权，引进需要的人才，建立人才进出的灵活竞争机制，打造一支结构合理、分工明确、运行有效、积极奋进的人才队伍。</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海通证券《员工手册》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手册是公司对人员管理的基本准则，阐述了公司的企业文化、基本政策和员工基本行为规范，突出合规管理和诚信执业的重要性，用于指导和规范公司全体员工的行为和职业道德，充分调动发挥公司员工的积极性和创造性，切实维护公司利益和保障员工的合法权益。</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《海通证券股份有限公司劳动合同管理规定》</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规定以国家《劳动法》和《劳动合同法》为基本遵循，是公司劳动关系管理的重要依据。对劳动合同的订立、履行、终止和解除等情形均作出规定。明确公司招聘录用员工时应当诚实信用，不得欺骗隐瞒，遵守“反歧视、反歁诈、反强迫”的基本劳动用工原则；应当避免在招聘录用条件中附加歧视性条件。</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《海通证券股份有限公司总部特殊人才引进管理办法》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旨在加大人才引进力度，引进具有市场稀缺性、紧缺性且内部可替代难度较大的人才，合理配置和使用人才，充分发挥各类管理人才和专业技术人才在公司发展中的特殊作用。特殊人才引进遵循一致统一、绩效导向、适度突破原则，可通过特殊的途径和方法在市场上寻找所需的合适人才，签订业绩达标约定书，加强评定与使用管理。</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49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《海通证券股份有限公司工作人员违反规章制度行为的处罚细则》</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细则旨在保障公司各项业务规范运营，贯彻落实公司各类规章制度，惩戒和警示各种违反规章制度的行为，防范金融风险，促进和提高制度执行力，依据国家有关法律法规、行政规章和公司有关规章制度。细则明确了违规处罚种类及运用规则、处罚程序等，是公司实施司规处罚的制度依据。</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50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《海通证券股份有限公司培训工作管理办法（试行）》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旨在提升员工队伍的业务能力和管理能力，促进员工培训工作规范化、制度化，建立和完善公司培训体系。培训工作以公司战略为导向，与员工职业生涯发展相结合，把员工自我发展纳入到公司发展的轨道，实现员工与公司共同成长，使公司形成良好的学习氛围，为公司形成学习型组织打下良好的基础。</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51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《海通证券股份有限公司培训课程体系管理办法》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办法旨在满足公司人才队伍发展需求，构建员工能力提升的路径图和整体发展框架，建设系统化、标准化、专业化人才开发路径。培训课程体系分为管理类课程、专业类课程和通用类课程三大类。其中通用类课程适用于全体员工，体现了公司的企业文化与价值观、职业道德与素养等要素，是公司对员工的知识、态度、技能等方面的基础性要求，主要包括职业道德、职业态度和职业行为三方面的内容。新员工入职培训课程包括公司发展历史、战略目标、企业文化、各部门职能介绍和职业行为等必修内容，以帮助新员工了解公司、融入公司，并养成良好的职业素养。</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highlight w:val="none"/>
                <w:vertAlign w:val="baseline"/>
              </w:rPr>
            </w:pPr>
            <w:r>
              <w:rPr>
                <w:rFonts w:hint="eastAsia" w:ascii="宋体" w:hAnsi="宋体" w:eastAsia="宋体" w:cs="宋体"/>
                <w:i w:val="0"/>
                <w:iCs w:val="0"/>
                <w:color w:val="000000"/>
                <w:kern w:val="0"/>
                <w:sz w:val="22"/>
                <w:szCs w:val="22"/>
                <w:u w:val="none"/>
                <w:lang w:val="en-US" w:eastAsia="zh-CN" w:bidi="ar"/>
              </w:rPr>
              <w:t>52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《海通证券股份有限公司退休人员管理实施细则》</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该细则旨在进一步规范退休人员管理，更好地保障广大退休人员的基本生活待遇。退休人员管理坚持“以人为本”的宗旨，公司积极为退休人员营造老有所养、老有所乐、老有所为的良好环境。退休人员享受健康体检，疗休养补贴，患重大疾病住院、手术等专项慰问，春节、重阳节慰问，老年大学学费报销等待遇。</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highlight w:val="none"/>
                <w:u w:val="none"/>
                <w:lang w:val="en-US" w:eastAsia="zh-CN" w:bidi="ar"/>
              </w:rPr>
            </w:pPr>
            <w:r>
              <w:rPr>
                <w:rFonts w:hint="eastAsia" w:ascii="等线" w:hAnsi="等线" w:eastAsia="等线" w:cs="等线"/>
                <w:i w:val="0"/>
                <w:color w:val="000000"/>
                <w:kern w:val="0"/>
                <w:sz w:val="22"/>
                <w:szCs w:val="22"/>
                <w:highlight w:val="none"/>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《海通证券股份有限公司总部MD职位体系管理办法》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遵循制度化、专业化、市场化的基本原则，公司总部MD职位体系旨在突破单一的行政职级体系，充分体现各种专业人才的价值，建立以业绩和能力为导向的能上能下的职位管理机制，为员工提供多渠道的职业发展路径。通过设定《MD职位序列任职资格要求》，引导员工加强学习，不断提升自身能力。</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《海通证券股份有限公司分支机构职位管理办法》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该办法旨在适应经纪业务发展要求，建立以业绩为导向、能上能下的分支机构职位等级体系。职位体系设置、员工职等评定等内容，职等评定与员工个人绩效考核结果、能力评价挂钩。</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《海通证券股份有限公司合规管理人员管理办法》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合规管理人员管理</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《海通证券股份有限公司合规考核实施办法》</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合规考核</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《海通证券股份有限公司员工行为合规监测管理办法（2018年修订）》</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进一步规范员工执业行为，促进公司加强内部合规管理，增强员工的自我约束能力，实现持续规范发展</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《海通证券股份有限公司合规管理办法》</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强化合规管理，有效防范合规风险</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宋体" w:hAnsi="宋体" w:eastAsia="宋体" w:cs="宋体"/>
                <w:i w:val="0"/>
                <w:iCs w:val="0"/>
                <w:color w:val="000000"/>
                <w:kern w:val="0"/>
                <w:sz w:val="22"/>
                <w:szCs w:val="22"/>
                <w:u w:val="none"/>
                <w:lang w:val="en-US" w:eastAsia="zh-CN" w:bidi="ar"/>
              </w:rPr>
              <w:t>59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《海通证券股份有限公司合规手册（二〇二二年版）》</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进一步提高全体员工合规意识和合规执业水平，推动公司合规文化建设</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《上海海通证券资产管理有限公司员工手册》</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员工福利、行为要求等</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《上海海通证券资产管理有限公司薪酬管理办法（试行）》</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关于薪酬管理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《上海海通证券资产管理有限公司绩效管理制度》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关于绩效考核</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《上海海通证券资产管理有限公司投资绩效评估办法》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关于绩效评估</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《上海海通证券资产管理有限公司招聘管理办法》</w:t>
            </w:r>
          </w:p>
        </w:tc>
        <w:tc>
          <w:tcPr>
            <w:tcW w:w="4166" w:type="dxa"/>
            <w:vAlign w:val="center"/>
          </w:tcPr>
          <w:p>
            <w:pPr>
              <w:widowControl/>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关于人员招聘</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《上海海通证券资产管理有限公司干部管理细则》</w:t>
            </w:r>
          </w:p>
        </w:tc>
        <w:tc>
          <w:tcPr>
            <w:tcW w:w="4166" w:type="dxa"/>
            <w:vAlign w:val="center"/>
          </w:tcPr>
          <w:p>
            <w:pPr>
              <w:widowControl/>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关于干部管理等事宜</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2584" w:type="dxa"/>
            <w:vAlign w:val="center"/>
          </w:tcPr>
          <w:p>
            <w:pPr>
              <w:widowControl/>
              <w:jc w:val="left"/>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color w:val="000000"/>
                <w:kern w:val="0"/>
                <w:sz w:val="22"/>
              </w:rPr>
              <w:t>《上海海通证券资产管理有限公司新员工带教办法》</w:t>
            </w:r>
          </w:p>
        </w:tc>
        <w:tc>
          <w:tcPr>
            <w:tcW w:w="4166" w:type="dxa"/>
            <w:vAlign w:val="center"/>
          </w:tcPr>
          <w:p>
            <w:pPr>
              <w:widowControl/>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关于新员工融入企业，融入文化</w:t>
            </w:r>
          </w:p>
        </w:tc>
        <w:tc>
          <w:tcPr>
            <w:tcW w:w="1044" w:type="dxa"/>
            <w:vAlign w:val="center"/>
          </w:tcPr>
          <w:p>
            <w:pPr>
              <w:widowControl/>
              <w:jc w:val="left"/>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《上海海通证券资产管理有限公司规章制度管理办法》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《上海海通证券资产管理有限公司合规管理办法》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《上海海通证券资产管理有限公司合规管理人员管理办法》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《上海海通证券资产管理有限公司合规审查办法》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《上海海通证券资产管理有限公司合规问责管理办法》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《上海海通证券资产管理有限公司合规考核实施办法》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执业行为管理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《上海海通证券资产管理有限公司员工通讯工具使用管理办法》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执业行为管理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《上海海通证券资产管理有限公司网络和即时信息工具使用管理办法》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《上海海通证券资产管理有限公司全面风险管理办法》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《上海海通证券资产管理有限公司内部控制大纲》</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《上海海通证券资产管理有限公司公平交易管理办法》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《上海海通证券资产管理有限公司异常交易管理制度》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《上海海通证券资产管理有限公司操作风险管理办法》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《上海海通证券资产管理有限公司流动性风险管理办法》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《上海海通证券资产管理有限公司操作风险管理办法》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《上海海通证券资产管理有限公司信用风险管理办法》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《上海海通证券资产管理有限公司逆回购质押券风险管理办法》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《上海海通证券资产管理有限公司股票质押式回购交易业务风险管理办法》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《上海海通证券资产管理有限公司资产证券化业务存续期信用风险管理办法》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2584" w:type="dxa"/>
            <w:vAlign w:val="center"/>
          </w:tcPr>
          <w:p>
            <w:pPr>
              <w:rPr>
                <w:rFonts w:hint="eastAsia" w:ascii="等线" w:hAnsi="等线" w:eastAsia="等线" w:cs="等线"/>
                <w:i w:val="0"/>
                <w:color w:val="000000"/>
                <w:kern w:val="0"/>
                <w:sz w:val="22"/>
                <w:szCs w:val="22"/>
                <w:u w:val="none"/>
                <w:lang w:val="en-US" w:eastAsia="zh-CN" w:bidi="ar"/>
              </w:rPr>
            </w:pPr>
          </w:p>
        </w:tc>
        <w:tc>
          <w:tcPr>
            <w:tcW w:w="4166" w:type="dxa"/>
            <w:vAlign w:val="center"/>
          </w:tcPr>
          <w:p>
            <w:pPr>
              <w:rPr>
                <w:rFonts w:hint="eastAsia" w:ascii="等线" w:hAnsi="等线" w:eastAsia="等线" w:cs="等线"/>
                <w:i w:val="0"/>
                <w:color w:val="000000"/>
                <w:kern w:val="0"/>
                <w:sz w:val="22"/>
                <w:szCs w:val="22"/>
                <w:u w:val="none"/>
                <w:lang w:val="en-US" w:eastAsia="zh-CN" w:bidi="ar"/>
              </w:rPr>
            </w:pPr>
          </w:p>
        </w:tc>
        <w:tc>
          <w:tcPr>
            <w:tcW w:w="1044" w:type="dxa"/>
            <w:vAlign w:val="center"/>
          </w:tcPr>
          <w:p>
            <w:pPr>
              <w:rPr>
                <w:rFonts w:hint="eastAsia" w:ascii="等线" w:hAnsi="等线" w:eastAsia="等线" w:cs="等线"/>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《上海海通证券资产管理有限公司风险管理考核评价办法》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监察稽核</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《上海海通证券资产管理有限公司监察稽核管理办法》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防范业务风险</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《上海海通证券资产管理有限公司尽职调查办法》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防范业务风险</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《上海海通证券资产管理有限公司资产证券化业务尽职调查工作实施细则》</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防范业务风险</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《上海海通证券资产管理有限公司股票质押式回购交易业务尽职调查与贷后管理工作指引》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信息隔离、防范利益冲突</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《上海海通证券资产管理有限公司防控内幕交易管理办法》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信息隔离、防范利益冲突</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《上海海通证券资产管理有限公司关联交易管理及利益冲突防范制度》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信息隔离、防范利益冲突</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《上海海通证券资产管理有限公司股票质押式回购交易业务信息隔离及利益冲突防范管理办法》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防范执业风险</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《上海海通证券资产管理有限公司资产证券化业务质量控制制度》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廉洁从业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《上海海通证券资产管理有限公司廉洁从业管理办法》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廉洁从业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《上海海通证券资产管理有限公司资产证券化业务聘请第三方机构实施细则》</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廉洁从业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《上海海通证券资产管理有限公司聘用第三方机构为产品提供投资建议相关服务的准入及管理办法》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廉洁从业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《上海海通证券资产管理有限公司信息技术采购细则》</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对外宣传</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《上海海通证券资产管理有限公司媒体沟通办法》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对外宣传</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《上海海通证券资产管理有限公司媒体宣传行为规范》</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对外宣传</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《上海海通证券资产管理有限公司直播管理办法》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信息安全</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《上海海通证券资产管理有限公司信息技术计算机安全管理办法》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信息安全</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《上海海通证券资产管理有限公司信息系统数据安全管理办法》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信息安全</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《上海海通证券资产管理有限公司客户服务管理办法》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客户服务</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bCs w:val="0"/>
                <w:color w:val="000000"/>
                <w:kern w:val="0"/>
                <w:sz w:val="22"/>
                <w:szCs w:val="22"/>
              </w:rPr>
              <w:t>《上海海通证券资产管理有限公司招标投标管理制度》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采购管理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bCs w:val="0"/>
                <w:color w:val="000000"/>
                <w:kern w:val="0"/>
                <w:sz w:val="22"/>
                <w:szCs w:val="22"/>
              </w:rPr>
              <w:t>《上海海通证券资产管理有限公司物资采购管理制度》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采购管理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《上海海通证券资产管理有限公司投资者权益保护工作管理办法》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投资者权益保护</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《上海海通证券资产管理有限公司贯彻落实“三重一大”决策制度实施办法》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三重一大</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《上海海通证券资产管理有限公司关于证券行业支持民企发展系列资产管理计划管理暂行办法》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支持民企发展</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《上海海通证券资产管理有限公司ESG风险管理办法》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风险控制</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 xml:space="preserve">《上海海通证券资产管理有限公司远程办公合规管理办法》 </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113</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《上海海通证券资产管理有限公司员工投资行为管理办法》</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合规管理</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114</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bCs w:val="0"/>
                <w:color w:val="000000"/>
                <w:kern w:val="0"/>
                <w:sz w:val="22"/>
                <w:szCs w:val="22"/>
              </w:rPr>
              <w:t>《上海海通证券资产管理有限公司职工文体俱乐部章程》</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工会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w:t>
            </w:r>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bCs w:val="0"/>
                <w:color w:val="000000"/>
                <w:kern w:val="0"/>
                <w:sz w:val="22"/>
                <w:szCs w:val="22"/>
              </w:rPr>
              <w:t>《上海海通证券资产管理有限公司工会财务管理制度》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工会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bookmarkStart w:id="0" w:name="_GoBack"/>
            <w:bookmarkEnd w:id="0"/>
          </w:p>
        </w:tc>
        <w:tc>
          <w:tcPr>
            <w:tcW w:w="258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bCs w:val="0"/>
                <w:color w:val="000000"/>
                <w:kern w:val="0"/>
                <w:sz w:val="22"/>
                <w:szCs w:val="22"/>
              </w:rPr>
              <w:t>《上海海通证券资产管理有限公司工会内控制度》</w:t>
            </w:r>
          </w:p>
        </w:tc>
        <w:tc>
          <w:tcPr>
            <w:tcW w:w="4166"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工会</w:t>
            </w:r>
          </w:p>
        </w:tc>
        <w:tc>
          <w:tcPr>
            <w:tcW w:w="1044" w:type="dxa"/>
            <w:vAlign w:val="center"/>
          </w:tcPr>
          <w:p>
            <w:pPr>
              <w:widowControl/>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color w:val="000000"/>
                <w:kern w:val="0"/>
                <w:sz w:val="22"/>
              </w:rPr>
              <w:t>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8F2"/>
    <w:rsid w:val="000A12D7"/>
    <w:rsid w:val="000C371F"/>
    <w:rsid w:val="00172A27"/>
    <w:rsid w:val="00190799"/>
    <w:rsid w:val="001D43AB"/>
    <w:rsid w:val="0021155A"/>
    <w:rsid w:val="00270E29"/>
    <w:rsid w:val="002F02F2"/>
    <w:rsid w:val="002F1268"/>
    <w:rsid w:val="0031260A"/>
    <w:rsid w:val="00391115"/>
    <w:rsid w:val="0039494A"/>
    <w:rsid w:val="00417259"/>
    <w:rsid w:val="004D2873"/>
    <w:rsid w:val="004F23F5"/>
    <w:rsid w:val="004F24AF"/>
    <w:rsid w:val="0056295B"/>
    <w:rsid w:val="00563A2C"/>
    <w:rsid w:val="006A09F5"/>
    <w:rsid w:val="00700A9E"/>
    <w:rsid w:val="00767E5D"/>
    <w:rsid w:val="00787F45"/>
    <w:rsid w:val="007F437E"/>
    <w:rsid w:val="009115FF"/>
    <w:rsid w:val="00975BF2"/>
    <w:rsid w:val="0098701F"/>
    <w:rsid w:val="00BB1F35"/>
    <w:rsid w:val="00BC4201"/>
    <w:rsid w:val="00BD57A9"/>
    <w:rsid w:val="00C345B8"/>
    <w:rsid w:val="00C55976"/>
    <w:rsid w:val="00C9793C"/>
    <w:rsid w:val="00CC1D43"/>
    <w:rsid w:val="00D346FC"/>
    <w:rsid w:val="00D4060D"/>
    <w:rsid w:val="00DA5800"/>
    <w:rsid w:val="00DB11CB"/>
    <w:rsid w:val="00E16DE2"/>
    <w:rsid w:val="00E8698F"/>
    <w:rsid w:val="00EC79CF"/>
    <w:rsid w:val="00F1318A"/>
    <w:rsid w:val="02830695"/>
    <w:rsid w:val="06F746B0"/>
    <w:rsid w:val="0BD75D62"/>
    <w:rsid w:val="0CDA607B"/>
    <w:rsid w:val="0D73127D"/>
    <w:rsid w:val="0DED6F2B"/>
    <w:rsid w:val="108B45F2"/>
    <w:rsid w:val="15221B03"/>
    <w:rsid w:val="1CE5614C"/>
    <w:rsid w:val="1E7015DA"/>
    <w:rsid w:val="247561C9"/>
    <w:rsid w:val="26CF3D97"/>
    <w:rsid w:val="277B682C"/>
    <w:rsid w:val="287527E4"/>
    <w:rsid w:val="292A6FEF"/>
    <w:rsid w:val="29351F7F"/>
    <w:rsid w:val="2AE40898"/>
    <w:rsid w:val="2C376D53"/>
    <w:rsid w:val="2C60249F"/>
    <w:rsid w:val="2D021A32"/>
    <w:rsid w:val="2FF53F04"/>
    <w:rsid w:val="30E71D98"/>
    <w:rsid w:val="345016D0"/>
    <w:rsid w:val="35606509"/>
    <w:rsid w:val="3A5A52F1"/>
    <w:rsid w:val="3A8C78A0"/>
    <w:rsid w:val="3AE71E5B"/>
    <w:rsid w:val="3CA07906"/>
    <w:rsid w:val="3E89541B"/>
    <w:rsid w:val="406A081F"/>
    <w:rsid w:val="47CA5328"/>
    <w:rsid w:val="48BD6D45"/>
    <w:rsid w:val="49E42896"/>
    <w:rsid w:val="4AC84C56"/>
    <w:rsid w:val="4B512F63"/>
    <w:rsid w:val="50EA0074"/>
    <w:rsid w:val="52F21AFE"/>
    <w:rsid w:val="56691739"/>
    <w:rsid w:val="5DDB68EB"/>
    <w:rsid w:val="5E3872BF"/>
    <w:rsid w:val="5E6F1C36"/>
    <w:rsid w:val="66BC67FA"/>
    <w:rsid w:val="67F04791"/>
    <w:rsid w:val="6F447B89"/>
    <w:rsid w:val="737F72DA"/>
    <w:rsid w:val="73F5615E"/>
    <w:rsid w:val="749D2962"/>
    <w:rsid w:val="75B53709"/>
    <w:rsid w:val="76A40592"/>
    <w:rsid w:val="77166BE1"/>
    <w:rsid w:val="777A4FC7"/>
    <w:rsid w:val="788C6ED5"/>
    <w:rsid w:val="795922B0"/>
    <w:rsid w:val="7C9C5270"/>
    <w:rsid w:val="7EB07CC8"/>
    <w:rsid w:val="7F3552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120" w:after="120" w:line="360" w:lineRule="auto"/>
      <w:ind w:right="210" w:firstLine="360"/>
      <w:outlineLvl w:val="2"/>
    </w:pPr>
    <w:rPr>
      <w:rFonts w:ascii="宋体" w:hAnsi="宋体" w:eastAsia="仿宋_GB2312"/>
      <w:b/>
      <w:sz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35"/>
    <w:rPr>
      <w:rFonts w:ascii="Arial" w:hAnsi="Arial" w:eastAsia="黑体"/>
      <w:sz w:val="20"/>
    </w:rPr>
  </w:style>
  <w:style w:type="paragraph" w:styleId="4">
    <w:name w:val="Balloon Text"/>
    <w:basedOn w:val="1"/>
    <w:link w:val="17"/>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 w:type="paragraph" w:customStyle="1" w:styleId="13">
    <w:name w:val="大标题"/>
    <w:basedOn w:val="1"/>
    <w:qFormat/>
    <w:uiPriority w:val="0"/>
    <w:pPr>
      <w:tabs>
        <w:tab w:val="left" w:pos="454"/>
      </w:tabs>
      <w:jc w:val="center"/>
    </w:pPr>
    <w:rPr>
      <w:rFonts w:ascii="华文仿宋" w:hAnsi="华文仿宋" w:eastAsia="华文仿宋"/>
      <w:b/>
      <w:sz w:val="36"/>
      <w:szCs w:val="28"/>
    </w:rPr>
  </w:style>
  <w:style w:type="character" w:customStyle="1" w:styleId="14">
    <w:name w:val="NormalCharacter"/>
    <w:semiHidden/>
    <w:qFormat/>
    <w:uiPriority w:val="0"/>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7">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8">
    <w:name w:val="font11"/>
    <w:basedOn w:val="10"/>
    <w:qFormat/>
    <w:uiPriority w:val="0"/>
    <w:rPr>
      <w:rFonts w:hint="eastAsia" w:ascii="等线" w:hAnsi="等线" w:eastAsia="等线" w:cs="等线"/>
      <w:color w:val="000000"/>
      <w:sz w:val="22"/>
      <w:szCs w:val="22"/>
      <w:u w:val="none"/>
    </w:rPr>
  </w:style>
  <w:style w:type="character" w:customStyle="1" w:styleId="19">
    <w:name w:val="font01"/>
    <w:basedOn w:val="10"/>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2737</Words>
  <Characters>15607</Characters>
  <Lines>130</Lines>
  <Paragraphs>36</Paragraphs>
  <TotalTime>0</TotalTime>
  <ScaleCrop>false</ScaleCrop>
  <LinksUpToDate>false</LinksUpToDate>
  <CharactersWithSpaces>18308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2022-05-09T08:25:00Z</dcterms:created>
  <dc:creator>Estella Jin</dc:creator>
  <cp:lastModifiedBy>Administrator</cp:lastModifiedBy>
  <dcterms:modified xsi:type="dcterms:W3CDTF">2023-05-19T08:14:05Z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CEEDDCC49D1641829C1A4F526A00781F</vt:lpwstr>
  </property>
</Properties>
</file>