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spacing w:before="312" w:beforeLines="100"/>
        <w:jc w:val="center"/>
        <w:rPr>
          <w:rFonts w:ascii="仿宋" w:hAnsi="仿宋" w:eastAsia="仿宋" w:cs="宋体"/>
          <w:b/>
          <w:bCs/>
          <w:sz w:val="28"/>
          <w:szCs w:val="28"/>
        </w:rPr>
      </w:pPr>
      <w:bookmarkStart w:id="0" w:name="_GoBack"/>
      <w:r>
        <w:rPr>
          <w:rFonts w:hint="eastAsia" w:ascii="仿宋" w:hAnsi="仿宋" w:eastAsia="仿宋" w:cs="宋体"/>
          <w:b/>
          <w:bCs/>
          <w:sz w:val="28"/>
          <w:szCs w:val="28"/>
          <w:lang w:val="en-US" w:eastAsia="zh-CN"/>
        </w:rPr>
        <w:t>海通证券股份有限公司钦州子材东大街证券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营业部交易佣金结构</w:t>
      </w:r>
    </w:p>
    <w:bookmarkEnd w:id="0"/>
    <w:tbl>
      <w:tblPr>
        <w:tblStyle w:val="2"/>
        <w:tblW w:w="977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1558"/>
        <w:gridCol w:w="3120"/>
        <w:gridCol w:w="2141"/>
        <w:gridCol w:w="16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一级分类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二级分类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三级分类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参数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佣金系数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交易佣金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基础佣金率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根据地区平均佣金率测算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0.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客户级别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调整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（资产，或者由交易量换算的资产当量）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客户级别A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[1000万,+∞)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客户级别B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[500万,1000万）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0.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客户级别C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[200万,500万)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0.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客户级别D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[100万,200万）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0.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客户级别E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[50万,100万)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0.70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～1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客户级别F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[20万,50万）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0.80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～1.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客户级别G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[10万,20万)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0.85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1.5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客户级别H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[5万,10万）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0.90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客户级别I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[0,5万）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0～3.00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证券品种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调整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股票（沪深股票、港股通）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基金（含ETF、LOF等）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债券现券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0.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股票（北交所、股转市场）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客户忠诚度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调整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忠诚度A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[10年,+∞）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0.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～0.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忠诚度B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[5年,10年）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0.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～0.90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忠诚度C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[3年,5年）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0.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～1.00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忠诚度D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[0,3年）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0.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～1.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增值佣金</w:t>
            </w:r>
          </w:p>
        </w:tc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服务佣金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交易功能</w:t>
            </w:r>
          </w:p>
        </w:tc>
        <w:tc>
          <w:tcPr>
            <w:tcW w:w="382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与客户签署服务协议约定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5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投资咨询服务</w:t>
            </w:r>
          </w:p>
        </w:tc>
        <w:tc>
          <w:tcPr>
            <w:tcW w:w="382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5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通讯服务</w:t>
            </w:r>
          </w:p>
        </w:tc>
        <w:tc>
          <w:tcPr>
            <w:tcW w:w="382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97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注：a&gt;营业部基础佣金率由地区平均佣金率作为计算参考；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b&gt;交易量采用股票基金交易量，资产当量=交易量/营业部平均周转率或市场周转率;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c&gt;辖区证券业协会出台自律性佣金标准，按辖区自律佣金标准执行。</w:t>
            </w:r>
          </w:p>
        </w:tc>
      </w:tr>
    </w:tbl>
    <w:p>
      <w:pPr>
        <w:spacing w:line="360" w:lineRule="auto"/>
        <w:ind w:firstLine="640" w:firstLineChars="200"/>
        <w:jc w:val="right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06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2023-11-08T05:47:38Z</dcterms:created>
  <dc:creator>lenovo</dc:creator>
  <cp:lastModifiedBy>lenovo</cp:lastModifiedBy>
  <dcterms:modified xsi:type="dcterms:W3CDTF">2023-11-08T05:48:01Z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48DC2A232BF6409FADFBB9DEA46CBCCB</vt:lpwstr>
  </property>
</Properties>
</file>